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05127" w14:textId="77777777" w:rsidR="006A06A6" w:rsidRDefault="006A06A6" w:rsidP="00F349C3">
      <w:pPr>
        <w:jc w:val="center"/>
        <w:rPr>
          <w:rFonts w:ascii="Cambria" w:hAnsi="Cambria"/>
          <w:b/>
          <w:bCs/>
          <w:sz w:val="32"/>
          <w:szCs w:val="32"/>
        </w:rPr>
      </w:pPr>
    </w:p>
    <w:p w14:paraId="456D63EF" w14:textId="109FA94F" w:rsidR="00F60844" w:rsidRPr="00F60844" w:rsidRDefault="00F60844" w:rsidP="00F60844">
      <w:pPr>
        <w:rPr>
          <w:rFonts w:ascii="Cambria" w:hAnsi="Cambria"/>
          <w:b/>
          <w:bCs/>
          <w:i/>
          <w:sz w:val="24"/>
          <w:szCs w:val="24"/>
          <w:u w:val="single"/>
        </w:rPr>
      </w:pPr>
      <w:r w:rsidRPr="00F60844">
        <w:rPr>
          <w:rFonts w:ascii="Cambria" w:hAnsi="Cambria"/>
          <w:b/>
          <w:bCs/>
          <w:i/>
          <w:sz w:val="24"/>
          <w:szCs w:val="24"/>
          <w:u w:val="single"/>
        </w:rPr>
        <w:t xml:space="preserve">BALANCE PROYECTO CIBERESUCICOVID </w:t>
      </w:r>
    </w:p>
    <w:p w14:paraId="706F73E5" w14:textId="77777777" w:rsidR="008249E0" w:rsidRDefault="008249E0" w:rsidP="00F349C3">
      <w:pPr>
        <w:jc w:val="center"/>
        <w:rPr>
          <w:rFonts w:ascii="Cambria" w:hAnsi="Cambria"/>
          <w:b/>
          <w:bCs/>
          <w:sz w:val="32"/>
          <w:szCs w:val="32"/>
        </w:rPr>
      </w:pPr>
    </w:p>
    <w:p w14:paraId="63B2ECAD" w14:textId="09844539" w:rsidR="00301A95" w:rsidRDefault="004A0A9C" w:rsidP="00F349C3">
      <w:pPr>
        <w:jc w:val="center"/>
        <w:rPr>
          <w:rFonts w:ascii="Cambria" w:hAnsi="Cambria"/>
          <w:b/>
          <w:bCs/>
          <w:sz w:val="32"/>
          <w:szCs w:val="32"/>
        </w:rPr>
      </w:pPr>
      <w:r>
        <w:rPr>
          <w:rFonts w:ascii="Cambria" w:hAnsi="Cambria"/>
          <w:b/>
          <w:bCs/>
          <w:sz w:val="32"/>
          <w:szCs w:val="32"/>
        </w:rPr>
        <w:t xml:space="preserve">La mortalidad de los </w:t>
      </w:r>
      <w:r w:rsidR="00B534F6">
        <w:rPr>
          <w:rFonts w:ascii="Cambria" w:hAnsi="Cambria"/>
          <w:b/>
          <w:bCs/>
          <w:sz w:val="32"/>
          <w:szCs w:val="32"/>
        </w:rPr>
        <w:t xml:space="preserve">pacientes ingresados </w:t>
      </w:r>
      <w:r w:rsidR="00B9289A">
        <w:rPr>
          <w:rFonts w:ascii="Cambria" w:hAnsi="Cambria"/>
          <w:b/>
          <w:bCs/>
          <w:sz w:val="32"/>
          <w:szCs w:val="32"/>
        </w:rPr>
        <w:t>p</w:t>
      </w:r>
      <w:r w:rsidR="00197269">
        <w:rPr>
          <w:rFonts w:ascii="Cambria" w:hAnsi="Cambria"/>
          <w:b/>
          <w:bCs/>
          <w:sz w:val="32"/>
          <w:szCs w:val="32"/>
        </w:rPr>
        <w:t xml:space="preserve">or COVID-19 </w:t>
      </w:r>
      <w:r w:rsidR="00B534F6">
        <w:rPr>
          <w:rFonts w:ascii="Cambria" w:hAnsi="Cambria"/>
          <w:b/>
          <w:bCs/>
          <w:sz w:val="32"/>
          <w:szCs w:val="32"/>
        </w:rPr>
        <w:t>en las UCI</w:t>
      </w:r>
      <w:r>
        <w:rPr>
          <w:rFonts w:ascii="Cambria" w:hAnsi="Cambria"/>
          <w:b/>
          <w:bCs/>
          <w:sz w:val="32"/>
          <w:szCs w:val="32"/>
        </w:rPr>
        <w:t xml:space="preserve"> españolas fue del 31% </w:t>
      </w:r>
    </w:p>
    <w:p w14:paraId="7EBE01C3" w14:textId="77777777" w:rsidR="008249E0" w:rsidRDefault="008249E0" w:rsidP="00F349C3">
      <w:pPr>
        <w:jc w:val="center"/>
        <w:rPr>
          <w:rFonts w:ascii="Cambria" w:hAnsi="Cambria"/>
          <w:b/>
          <w:bCs/>
          <w:sz w:val="32"/>
          <w:szCs w:val="32"/>
        </w:rPr>
      </w:pPr>
    </w:p>
    <w:p w14:paraId="7172F9DE" w14:textId="08AD8933" w:rsidR="00301A95" w:rsidRDefault="005C1D37" w:rsidP="00C80E22">
      <w:pPr>
        <w:pStyle w:val="Prrafodelista"/>
        <w:numPr>
          <w:ilvl w:val="0"/>
          <w:numId w:val="4"/>
        </w:numPr>
        <w:jc w:val="both"/>
        <w:rPr>
          <w:rFonts w:ascii="Cambria" w:hAnsi="Cambria"/>
          <w:b/>
          <w:bCs/>
          <w:sz w:val="24"/>
          <w:szCs w:val="24"/>
        </w:rPr>
      </w:pPr>
      <w:r>
        <w:rPr>
          <w:rFonts w:ascii="Cambria" w:hAnsi="Cambria"/>
          <w:b/>
          <w:bCs/>
          <w:sz w:val="24"/>
          <w:szCs w:val="24"/>
        </w:rPr>
        <w:t xml:space="preserve">El </w:t>
      </w:r>
      <w:r w:rsidR="004A0A9C">
        <w:rPr>
          <w:rFonts w:ascii="Cambria" w:hAnsi="Cambria"/>
          <w:b/>
          <w:bCs/>
          <w:sz w:val="24"/>
          <w:szCs w:val="24"/>
        </w:rPr>
        <w:t>proyecto CIBERESUCI</w:t>
      </w:r>
      <w:r w:rsidR="00A67B54" w:rsidRPr="00A67B54">
        <w:rPr>
          <w:rFonts w:ascii="Cambria" w:hAnsi="Cambria"/>
          <w:b/>
          <w:bCs/>
          <w:sz w:val="24"/>
          <w:szCs w:val="24"/>
        </w:rPr>
        <w:t>COVID</w:t>
      </w:r>
      <w:r w:rsidR="00AE26FC">
        <w:rPr>
          <w:rFonts w:ascii="Cambria" w:hAnsi="Cambria"/>
          <w:b/>
          <w:bCs/>
          <w:sz w:val="24"/>
          <w:szCs w:val="24"/>
        </w:rPr>
        <w:t xml:space="preserve">, que finaliza el 31 de diciembre, </w:t>
      </w:r>
      <w:r w:rsidR="004A0A9C">
        <w:rPr>
          <w:rFonts w:ascii="Cambria" w:hAnsi="Cambria"/>
          <w:b/>
          <w:bCs/>
          <w:sz w:val="24"/>
          <w:szCs w:val="24"/>
        </w:rPr>
        <w:t xml:space="preserve"> pres</w:t>
      </w:r>
      <w:r w:rsidR="00EC6F4D">
        <w:rPr>
          <w:rFonts w:ascii="Cambria" w:hAnsi="Cambria"/>
          <w:b/>
          <w:bCs/>
          <w:sz w:val="24"/>
          <w:szCs w:val="24"/>
        </w:rPr>
        <w:t xml:space="preserve">enta los principales resultados </w:t>
      </w:r>
      <w:r w:rsidR="004A0A9C">
        <w:rPr>
          <w:rFonts w:ascii="Cambria" w:hAnsi="Cambria"/>
          <w:b/>
          <w:bCs/>
          <w:sz w:val="24"/>
          <w:szCs w:val="24"/>
        </w:rPr>
        <w:t>y concluye que al año de</w:t>
      </w:r>
      <w:r w:rsidR="00EC6F4D">
        <w:rPr>
          <w:rFonts w:ascii="Cambria" w:hAnsi="Cambria"/>
          <w:b/>
          <w:bCs/>
          <w:sz w:val="24"/>
          <w:szCs w:val="24"/>
        </w:rPr>
        <w:t xml:space="preserve">l alta hospitalaria </w:t>
      </w:r>
      <w:r w:rsidR="004A0A9C">
        <w:rPr>
          <w:rFonts w:ascii="Cambria" w:hAnsi="Cambria"/>
          <w:b/>
          <w:bCs/>
          <w:sz w:val="24"/>
          <w:szCs w:val="24"/>
        </w:rPr>
        <w:t xml:space="preserve">fallecen el 1% de los pacientes </w:t>
      </w:r>
      <w:r w:rsidR="00EC6F4D">
        <w:rPr>
          <w:rFonts w:ascii="Cambria" w:hAnsi="Cambria"/>
          <w:b/>
          <w:bCs/>
          <w:sz w:val="24"/>
          <w:szCs w:val="24"/>
        </w:rPr>
        <w:t xml:space="preserve">que habían estado en </w:t>
      </w:r>
      <w:r w:rsidR="002914F9">
        <w:rPr>
          <w:rFonts w:ascii="Cambria" w:hAnsi="Cambria"/>
          <w:b/>
          <w:bCs/>
          <w:sz w:val="24"/>
          <w:szCs w:val="24"/>
        </w:rPr>
        <w:t>c</w:t>
      </w:r>
      <w:r w:rsidR="00EC6F4D">
        <w:rPr>
          <w:rFonts w:ascii="Cambria" w:hAnsi="Cambria"/>
          <w:b/>
          <w:bCs/>
          <w:sz w:val="24"/>
          <w:szCs w:val="24"/>
        </w:rPr>
        <w:t xml:space="preserve">uidados </w:t>
      </w:r>
      <w:r w:rsidR="002914F9">
        <w:rPr>
          <w:rFonts w:ascii="Cambria" w:hAnsi="Cambria"/>
          <w:b/>
          <w:bCs/>
          <w:sz w:val="24"/>
          <w:szCs w:val="24"/>
        </w:rPr>
        <w:t>i</w:t>
      </w:r>
      <w:r w:rsidR="00EC6F4D">
        <w:rPr>
          <w:rFonts w:ascii="Cambria" w:hAnsi="Cambria"/>
          <w:b/>
          <w:bCs/>
          <w:sz w:val="24"/>
          <w:szCs w:val="24"/>
        </w:rPr>
        <w:t xml:space="preserve">ntensivos </w:t>
      </w:r>
    </w:p>
    <w:p w14:paraId="7B02818F" w14:textId="77777777" w:rsidR="00AE26FC" w:rsidRDefault="00AE26FC" w:rsidP="00B83904">
      <w:pPr>
        <w:pStyle w:val="Prrafodelista"/>
        <w:ind w:left="1068"/>
        <w:jc w:val="both"/>
        <w:rPr>
          <w:rFonts w:ascii="Cambria" w:hAnsi="Cambria"/>
          <w:b/>
          <w:bCs/>
          <w:sz w:val="24"/>
          <w:szCs w:val="24"/>
        </w:rPr>
      </w:pPr>
    </w:p>
    <w:p w14:paraId="612E85F3" w14:textId="565FF349" w:rsidR="00AE26FC" w:rsidRDefault="00AE26FC" w:rsidP="00C80E22">
      <w:pPr>
        <w:pStyle w:val="Prrafodelista"/>
        <w:numPr>
          <w:ilvl w:val="0"/>
          <w:numId w:val="4"/>
        </w:numPr>
        <w:jc w:val="both"/>
        <w:rPr>
          <w:rFonts w:ascii="Cambria" w:hAnsi="Cambria"/>
          <w:b/>
          <w:bCs/>
          <w:sz w:val="24"/>
          <w:szCs w:val="24"/>
        </w:rPr>
      </w:pPr>
      <w:r>
        <w:rPr>
          <w:rFonts w:ascii="Cambria" w:hAnsi="Cambria"/>
          <w:b/>
          <w:bCs/>
          <w:sz w:val="24"/>
          <w:szCs w:val="24"/>
        </w:rPr>
        <w:t xml:space="preserve">Desde </w:t>
      </w:r>
      <w:r w:rsidR="00722190">
        <w:rPr>
          <w:rFonts w:ascii="Cambria" w:hAnsi="Cambria"/>
          <w:b/>
          <w:bCs/>
          <w:sz w:val="24"/>
          <w:szCs w:val="24"/>
        </w:rPr>
        <w:t>febrero</w:t>
      </w:r>
      <w:r>
        <w:rPr>
          <w:rFonts w:ascii="Cambria" w:hAnsi="Cambria"/>
          <w:b/>
          <w:bCs/>
          <w:sz w:val="24"/>
          <w:szCs w:val="24"/>
        </w:rPr>
        <w:t xml:space="preserve"> de 2020 y </w:t>
      </w:r>
      <w:r w:rsidR="00722190" w:rsidRPr="008249E0">
        <w:rPr>
          <w:rFonts w:ascii="Cambria" w:hAnsi="Cambria"/>
          <w:b/>
          <w:bCs/>
          <w:sz w:val="24"/>
          <w:szCs w:val="24"/>
        </w:rPr>
        <w:t>hasta diciembre</w:t>
      </w:r>
      <w:r>
        <w:rPr>
          <w:rFonts w:ascii="Cambria" w:hAnsi="Cambria"/>
          <w:b/>
          <w:bCs/>
          <w:sz w:val="24"/>
          <w:szCs w:val="24"/>
        </w:rPr>
        <w:t xml:space="preserve"> de este año han sido estudiados </w:t>
      </w:r>
      <w:r w:rsidR="00722190">
        <w:rPr>
          <w:rFonts w:ascii="Cambria" w:hAnsi="Cambria"/>
          <w:b/>
          <w:bCs/>
          <w:sz w:val="24"/>
          <w:szCs w:val="24"/>
        </w:rPr>
        <w:t>5.700</w:t>
      </w:r>
      <w:r>
        <w:rPr>
          <w:rFonts w:ascii="Cambria" w:hAnsi="Cambria"/>
          <w:b/>
          <w:bCs/>
          <w:sz w:val="24"/>
          <w:szCs w:val="24"/>
        </w:rPr>
        <w:t xml:space="preserve"> pacientes de 69 Unidades de Cuidados Intensivos  españolas </w:t>
      </w:r>
    </w:p>
    <w:p w14:paraId="07D99C66" w14:textId="77777777" w:rsidR="00EC6F4D" w:rsidRDefault="00EC6F4D" w:rsidP="00EC6F4D">
      <w:pPr>
        <w:pStyle w:val="Prrafodelista"/>
        <w:ind w:left="1068"/>
        <w:jc w:val="both"/>
        <w:rPr>
          <w:rFonts w:ascii="Cambria" w:hAnsi="Cambria"/>
          <w:b/>
          <w:bCs/>
          <w:sz w:val="24"/>
          <w:szCs w:val="24"/>
        </w:rPr>
      </w:pPr>
    </w:p>
    <w:p w14:paraId="7A22A9E8" w14:textId="6E1126C6" w:rsidR="004A0A9C" w:rsidRDefault="00EC6F4D" w:rsidP="00C80E22">
      <w:pPr>
        <w:pStyle w:val="Prrafodelista"/>
        <w:numPr>
          <w:ilvl w:val="0"/>
          <w:numId w:val="4"/>
        </w:numPr>
        <w:jc w:val="both"/>
        <w:rPr>
          <w:rFonts w:ascii="Cambria" w:hAnsi="Cambria"/>
          <w:b/>
          <w:bCs/>
          <w:sz w:val="24"/>
          <w:szCs w:val="24"/>
        </w:rPr>
      </w:pPr>
      <w:r>
        <w:rPr>
          <w:rFonts w:ascii="Cambria" w:hAnsi="Cambria"/>
          <w:b/>
          <w:bCs/>
          <w:sz w:val="24"/>
          <w:szCs w:val="24"/>
        </w:rPr>
        <w:t xml:space="preserve">Ventilación mecánica, edad, gravedad inicial, EPOC, descenso de plaquetas y aumento de creatinina, factores asociados al peor pronóstico </w:t>
      </w:r>
    </w:p>
    <w:p w14:paraId="5364A7F0" w14:textId="77777777" w:rsidR="00EC6F4D" w:rsidRPr="00EC6F4D" w:rsidRDefault="00EC6F4D" w:rsidP="00EC6F4D">
      <w:pPr>
        <w:pStyle w:val="Prrafodelista"/>
        <w:rPr>
          <w:rFonts w:ascii="Cambria" w:hAnsi="Cambria"/>
          <w:b/>
          <w:bCs/>
          <w:sz w:val="24"/>
          <w:szCs w:val="24"/>
        </w:rPr>
      </w:pPr>
    </w:p>
    <w:p w14:paraId="23F44BEA" w14:textId="626D3415" w:rsidR="00EC6F4D" w:rsidRDefault="00F60844" w:rsidP="00C80E22">
      <w:pPr>
        <w:pStyle w:val="Prrafodelista"/>
        <w:numPr>
          <w:ilvl w:val="0"/>
          <w:numId w:val="4"/>
        </w:numPr>
        <w:jc w:val="both"/>
        <w:rPr>
          <w:rFonts w:ascii="Cambria" w:hAnsi="Cambria"/>
          <w:b/>
          <w:bCs/>
          <w:sz w:val="24"/>
          <w:szCs w:val="24"/>
        </w:rPr>
      </w:pPr>
      <w:r>
        <w:rPr>
          <w:rFonts w:ascii="Cambria" w:hAnsi="Cambria"/>
          <w:b/>
          <w:bCs/>
          <w:sz w:val="24"/>
          <w:szCs w:val="24"/>
        </w:rPr>
        <w:t xml:space="preserve">Los investigadores del CIBERES identifican además la eficacia de los tratamientos con corticoides según los perfiles de pacientes y determinan “herramientas útiles” para la toma de decisiones clínicas </w:t>
      </w:r>
    </w:p>
    <w:p w14:paraId="1347F7BE" w14:textId="77777777" w:rsidR="00C80E22" w:rsidRPr="005C1D37" w:rsidRDefault="00C80E22" w:rsidP="00C80E22">
      <w:pPr>
        <w:pStyle w:val="Prrafodelista"/>
        <w:jc w:val="both"/>
        <w:rPr>
          <w:rFonts w:ascii="Cambria" w:hAnsi="Cambria"/>
          <w:b/>
          <w:bCs/>
          <w:sz w:val="24"/>
          <w:szCs w:val="24"/>
        </w:rPr>
      </w:pPr>
    </w:p>
    <w:p w14:paraId="7497B707" w14:textId="6AA48E85" w:rsidR="00250002" w:rsidRDefault="00DD0A6A" w:rsidP="00B534F6">
      <w:pPr>
        <w:jc w:val="both"/>
        <w:rPr>
          <w:rFonts w:ascii="Cambria" w:hAnsi="Cambria"/>
          <w:sz w:val="24"/>
          <w:szCs w:val="24"/>
        </w:rPr>
      </w:pPr>
      <w:r w:rsidRPr="00E61E06">
        <w:rPr>
          <w:rFonts w:ascii="Cambria" w:hAnsi="Cambria"/>
          <w:b/>
          <w:bCs/>
          <w:sz w:val="24"/>
          <w:szCs w:val="24"/>
        </w:rPr>
        <w:t xml:space="preserve">Madrid, </w:t>
      </w:r>
      <w:r w:rsidR="00C80E22">
        <w:rPr>
          <w:rFonts w:ascii="Cambria" w:hAnsi="Cambria"/>
          <w:b/>
          <w:bCs/>
          <w:sz w:val="24"/>
          <w:szCs w:val="24"/>
        </w:rPr>
        <w:t>15</w:t>
      </w:r>
      <w:r w:rsidRPr="00E61E06">
        <w:rPr>
          <w:rFonts w:ascii="Cambria" w:hAnsi="Cambria"/>
          <w:b/>
          <w:bCs/>
          <w:sz w:val="24"/>
          <w:szCs w:val="24"/>
        </w:rPr>
        <w:t xml:space="preserve"> de </w:t>
      </w:r>
      <w:r w:rsidR="00C80E22">
        <w:rPr>
          <w:rFonts w:ascii="Cambria" w:hAnsi="Cambria"/>
          <w:b/>
          <w:bCs/>
          <w:sz w:val="24"/>
          <w:szCs w:val="24"/>
        </w:rPr>
        <w:t xml:space="preserve">diciembre </w:t>
      </w:r>
      <w:r w:rsidRPr="00E61E06">
        <w:rPr>
          <w:rFonts w:ascii="Cambria" w:hAnsi="Cambria"/>
          <w:b/>
          <w:bCs/>
          <w:sz w:val="24"/>
          <w:szCs w:val="24"/>
        </w:rPr>
        <w:t>de 2021.-</w:t>
      </w:r>
      <w:r w:rsidRPr="00E61E06">
        <w:rPr>
          <w:rFonts w:ascii="Cambria" w:hAnsi="Cambria"/>
          <w:sz w:val="24"/>
          <w:szCs w:val="24"/>
        </w:rPr>
        <w:t xml:space="preserve"> </w:t>
      </w:r>
      <w:r w:rsidR="00B534F6">
        <w:rPr>
          <w:rFonts w:ascii="Cambria" w:hAnsi="Cambria"/>
          <w:sz w:val="24"/>
          <w:szCs w:val="24"/>
        </w:rPr>
        <w:t xml:space="preserve">La mortalidad intrahospitalaria de los pacientes ingresados en las </w:t>
      </w:r>
      <w:r w:rsidR="00D025E4">
        <w:rPr>
          <w:rFonts w:ascii="Cambria" w:hAnsi="Cambria"/>
          <w:sz w:val="24"/>
          <w:szCs w:val="24"/>
        </w:rPr>
        <w:t>Unidades de Cuidados Intensivos (UCI)</w:t>
      </w:r>
      <w:r w:rsidR="00B534F6">
        <w:rPr>
          <w:rFonts w:ascii="Cambria" w:hAnsi="Cambria"/>
          <w:sz w:val="24"/>
          <w:szCs w:val="24"/>
        </w:rPr>
        <w:t xml:space="preserve"> españolas durante la pandemia </w:t>
      </w:r>
      <w:r w:rsidR="00652971">
        <w:rPr>
          <w:rFonts w:ascii="Cambria" w:hAnsi="Cambria"/>
          <w:sz w:val="24"/>
          <w:szCs w:val="24"/>
        </w:rPr>
        <w:t xml:space="preserve">fue </w:t>
      </w:r>
      <w:r w:rsidR="00B534F6">
        <w:rPr>
          <w:rFonts w:ascii="Cambria" w:hAnsi="Cambria"/>
          <w:sz w:val="24"/>
          <w:szCs w:val="24"/>
        </w:rPr>
        <w:t xml:space="preserve"> del 31% y los factores asociados al peor pronóstico </w:t>
      </w:r>
      <w:r w:rsidR="00652971">
        <w:rPr>
          <w:rFonts w:ascii="Cambria" w:hAnsi="Cambria"/>
          <w:sz w:val="24"/>
          <w:szCs w:val="24"/>
        </w:rPr>
        <w:t>se asocian a</w:t>
      </w:r>
      <w:r w:rsidR="00B534F6">
        <w:rPr>
          <w:rFonts w:ascii="Cambria" w:hAnsi="Cambria"/>
          <w:sz w:val="24"/>
          <w:szCs w:val="24"/>
        </w:rPr>
        <w:t xml:space="preserve"> la necesidad de ventilación mecánica, la edad, la gravedad inicial, EPOC asociada, el descenso de las plaquetas y el aumento de la creatinina comparando los días 1 y 3 de ventilación artificial. Estas</w:t>
      </w:r>
      <w:r w:rsidR="00652971">
        <w:rPr>
          <w:rFonts w:ascii="Cambria" w:hAnsi="Cambria"/>
          <w:sz w:val="24"/>
          <w:szCs w:val="24"/>
        </w:rPr>
        <w:t xml:space="preserve"> son</w:t>
      </w:r>
      <w:r w:rsidR="00B534F6">
        <w:rPr>
          <w:rFonts w:ascii="Cambria" w:hAnsi="Cambria"/>
          <w:sz w:val="24"/>
          <w:szCs w:val="24"/>
        </w:rPr>
        <w:t xml:space="preserve"> las principales conclusiones del proyecto</w:t>
      </w:r>
      <w:r w:rsidR="00122A6C">
        <w:rPr>
          <w:rFonts w:ascii="Cambria" w:hAnsi="Cambria"/>
          <w:sz w:val="24"/>
          <w:szCs w:val="24"/>
        </w:rPr>
        <w:t xml:space="preserve"> </w:t>
      </w:r>
      <w:r w:rsidR="00122A6C" w:rsidRPr="00122A6C">
        <w:rPr>
          <w:rFonts w:ascii="Cambria" w:hAnsi="Cambria"/>
          <w:i/>
          <w:sz w:val="24"/>
          <w:szCs w:val="24"/>
        </w:rPr>
        <w:t>Factores de riesgo y pronóstico de p</w:t>
      </w:r>
      <w:r w:rsidR="00122A6C">
        <w:rPr>
          <w:rFonts w:ascii="Cambria" w:hAnsi="Cambria"/>
          <w:i/>
          <w:sz w:val="24"/>
          <w:szCs w:val="24"/>
        </w:rPr>
        <w:t>acientes infectados por COVID-</w:t>
      </w:r>
      <w:r w:rsidR="00ED310F">
        <w:t xml:space="preserve">y seguimiento a un año de los enfermos ingresados </w:t>
      </w:r>
      <w:r w:rsidR="00122A6C" w:rsidRPr="00122A6C">
        <w:rPr>
          <w:rFonts w:ascii="Cambria" w:hAnsi="Cambria"/>
          <w:i/>
          <w:sz w:val="24"/>
          <w:szCs w:val="24"/>
        </w:rPr>
        <w:t>en las UCI españolas</w:t>
      </w:r>
      <w:r w:rsidR="00122A6C">
        <w:rPr>
          <w:rFonts w:ascii="Cambria" w:hAnsi="Cambria"/>
          <w:sz w:val="24"/>
          <w:szCs w:val="24"/>
        </w:rPr>
        <w:t xml:space="preserve"> (</w:t>
      </w:r>
      <w:r w:rsidR="00B534F6">
        <w:rPr>
          <w:rFonts w:ascii="Cambria" w:hAnsi="Cambria"/>
          <w:sz w:val="24"/>
          <w:szCs w:val="24"/>
        </w:rPr>
        <w:t>CIBERESUCICOVID</w:t>
      </w:r>
      <w:r w:rsidR="00122A6C">
        <w:rPr>
          <w:rFonts w:ascii="Cambria" w:hAnsi="Cambria"/>
          <w:sz w:val="24"/>
          <w:szCs w:val="24"/>
        </w:rPr>
        <w:t>)</w:t>
      </w:r>
      <w:r w:rsidR="00B534F6">
        <w:rPr>
          <w:rFonts w:ascii="Cambria" w:hAnsi="Cambria"/>
          <w:sz w:val="24"/>
          <w:szCs w:val="24"/>
        </w:rPr>
        <w:t>, desarrollado por los investigadores del CIBER de Enfer</w:t>
      </w:r>
      <w:r w:rsidR="00122A6C">
        <w:rPr>
          <w:rFonts w:ascii="Cambria" w:hAnsi="Cambria"/>
          <w:sz w:val="24"/>
          <w:szCs w:val="24"/>
        </w:rPr>
        <w:t>medades Respiratorias (CIBERE</w:t>
      </w:r>
      <w:r w:rsidR="008419EA">
        <w:rPr>
          <w:rFonts w:ascii="Cambria" w:hAnsi="Cambria"/>
          <w:sz w:val="24"/>
          <w:szCs w:val="24"/>
        </w:rPr>
        <w:t>S).</w:t>
      </w:r>
    </w:p>
    <w:p w14:paraId="57BA8EE0" w14:textId="45FC6499" w:rsidR="00652971" w:rsidRDefault="00652971" w:rsidP="00B534F6">
      <w:pPr>
        <w:jc w:val="both"/>
        <w:rPr>
          <w:rFonts w:ascii="Cambria" w:hAnsi="Cambria"/>
          <w:sz w:val="24"/>
          <w:szCs w:val="24"/>
        </w:rPr>
      </w:pPr>
      <w:r>
        <w:rPr>
          <w:rFonts w:ascii="Cambria" w:hAnsi="Cambria"/>
          <w:sz w:val="24"/>
          <w:szCs w:val="24"/>
        </w:rPr>
        <w:t xml:space="preserve">El proyecto </w:t>
      </w:r>
      <w:r w:rsidR="007F16C6">
        <w:rPr>
          <w:rFonts w:ascii="Cambria" w:hAnsi="Cambria"/>
          <w:sz w:val="24"/>
          <w:szCs w:val="24"/>
        </w:rPr>
        <w:t>forma parte de las investigaciones puestas en marcha a través del Fondo C</w:t>
      </w:r>
      <w:r w:rsidR="008419EA">
        <w:rPr>
          <w:rFonts w:ascii="Cambria" w:hAnsi="Cambria"/>
          <w:sz w:val="24"/>
          <w:szCs w:val="24"/>
        </w:rPr>
        <w:t>OVID-</w:t>
      </w:r>
      <w:r w:rsidR="007F16C6">
        <w:rPr>
          <w:rFonts w:ascii="Cambria" w:hAnsi="Cambria"/>
          <w:sz w:val="24"/>
          <w:szCs w:val="24"/>
        </w:rPr>
        <w:t xml:space="preserve">19 a lo largo del año 2020 y gestionado por el ISCIII, </w:t>
      </w:r>
      <w:r w:rsidR="009622DF">
        <w:rPr>
          <w:rFonts w:ascii="Cambria" w:hAnsi="Cambria"/>
          <w:sz w:val="24"/>
          <w:szCs w:val="24"/>
        </w:rPr>
        <w:t xml:space="preserve">y recibió </w:t>
      </w:r>
      <w:r w:rsidR="007F16C6">
        <w:rPr>
          <w:rFonts w:ascii="Cambria" w:hAnsi="Cambria"/>
          <w:sz w:val="24"/>
          <w:szCs w:val="24"/>
        </w:rPr>
        <w:t xml:space="preserve">una </w:t>
      </w:r>
      <w:r w:rsidR="007F16C6">
        <w:rPr>
          <w:rFonts w:ascii="Cambria" w:hAnsi="Cambria"/>
          <w:sz w:val="24"/>
          <w:szCs w:val="24"/>
        </w:rPr>
        <w:lastRenderedPageBreak/>
        <w:t xml:space="preserve">financiación total de </w:t>
      </w:r>
      <w:r w:rsidR="009622DF">
        <w:rPr>
          <w:rFonts w:ascii="Cambria" w:hAnsi="Cambria"/>
          <w:sz w:val="24"/>
          <w:szCs w:val="24"/>
        </w:rPr>
        <w:t>1.750.000 euros</w:t>
      </w:r>
      <w:r w:rsidR="008419EA">
        <w:rPr>
          <w:rFonts w:ascii="Cambria" w:hAnsi="Cambria"/>
          <w:sz w:val="24"/>
          <w:szCs w:val="24"/>
        </w:rPr>
        <w:t xml:space="preserve">. </w:t>
      </w:r>
      <w:r w:rsidR="007F16C6">
        <w:rPr>
          <w:rFonts w:ascii="Cambria" w:hAnsi="Cambria"/>
          <w:sz w:val="24"/>
          <w:szCs w:val="24"/>
        </w:rPr>
        <w:t>H</w:t>
      </w:r>
      <w:r>
        <w:rPr>
          <w:rFonts w:ascii="Cambria" w:hAnsi="Cambria"/>
          <w:sz w:val="24"/>
          <w:szCs w:val="24"/>
        </w:rPr>
        <w:t>a contado</w:t>
      </w:r>
      <w:r w:rsidR="008419EA">
        <w:rPr>
          <w:rFonts w:ascii="Cambria" w:hAnsi="Cambria"/>
          <w:sz w:val="24"/>
          <w:szCs w:val="24"/>
        </w:rPr>
        <w:t>, asimismo,</w:t>
      </w:r>
      <w:r>
        <w:rPr>
          <w:rFonts w:ascii="Cambria" w:hAnsi="Cambria"/>
          <w:sz w:val="24"/>
          <w:szCs w:val="24"/>
        </w:rPr>
        <w:t xml:space="preserve"> con el apoyo de la Sociedad Española de Medicina Intensiva, Crítica y Unidades Coronarias (SEMICYUC) y la Sociedad Española de Neumología y Cirugía Torácica (SEPAR), así como la participación del Barcelona </w:t>
      </w:r>
      <w:proofErr w:type="spellStart"/>
      <w:r>
        <w:rPr>
          <w:rFonts w:ascii="Cambria" w:hAnsi="Cambria"/>
          <w:sz w:val="24"/>
          <w:szCs w:val="24"/>
        </w:rPr>
        <w:t>Supercomputing</w:t>
      </w:r>
      <w:proofErr w:type="spellEnd"/>
      <w:r>
        <w:rPr>
          <w:rFonts w:ascii="Cambria" w:hAnsi="Cambria"/>
          <w:sz w:val="24"/>
          <w:szCs w:val="24"/>
        </w:rPr>
        <w:t xml:space="preserve"> Centre (BSC). </w:t>
      </w:r>
    </w:p>
    <w:p w14:paraId="56C6FC94" w14:textId="66EA3AC1" w:rsidR="00122A6C" w:rsidRDefault="00122A6C" w:rsidP="00D025E4">
      <w:pPr>
        <w:jc w:val="both"/>
        <w:rPr>
          <w:rFonts w:ascii="Cambria" w:hAnsi="Cambria"/>
          <w:sz w:val="24"/>
          <w:szCs w:val="24"/>
        </w:rPr>
      </w:pPr>
      <w:r>
        <w:rPr>
          <w:rFonts w:ascii="Cambria" w:hAnsi="Cambria"/>
          <w:sz w:val="24"/>
          <w:szCs w:val="24"/>
        </w:rPr>
        <w:t>Los resultados</w:t>
      </w:r>
      <w:r w:rsidR="00B534F6">
        <w:rPr>
          <w:rFonts w:ascii="Cambria" w:hAnsi="Cambria"/>
          <w:sz w:val="24"/>
          <w:szCs w:val="24"/>
        </w:rPr>
        <w:t xml:space="preserve"> de este estudio</w:t>
      </w:r>
      <w:r>
        <w:rPr>
          <w:rFonts w:ascii="Cambria" w:hAnsi="Cambria"/>
          <w:sz w:val="24"/>
          <w:szCs w:val="24"/>
        </w:rPr>
        <w:t xml:space="preserve"> multicéntrico</w:t>
      </w:r>
      <w:r w:rsidR="00B534F6">
        <w:rPr>
          <w:rFonts w:ascii="Cambria" w:hAnsi="Cambria"/>
          <w:sz w:val="24"/>
          <w:szCs w:val="24"/>
        </w:rPr>
        <w:t xml:space="preserve">, liderado por el jefe de grupo del CIBERES en el Hospital </w:t>
      </w:r>
      <w:proofErr w:type="spellStart"/>
      <w:r w:rsidR="00B534F6">
        <w:rPr>
          <w:rFonts w:ascii="Cambria" w:hAnsi="Cambria"/>
          <w:sz w:val="24"/>
          <w:szCs w:val="24"/>
        </w:rPr>
        <w:t>Clínic</w:t>
      </w:r>
      <w:proofErr w:type="spellEnd"/>
      <w:r w:rsidR="00B534F6">
        <w:rPr>
          <w:rFonts w:ascii="Cambria" w:hAnsi="Cambria"/>
          <w:sz w:val="24"/>
          <w:szCs w:val="24"/>
        </w:rPr>
        <w:t xml:space="preserve"> de Barcelona Antoni Torres, han sido presentadas en el trascurso de una jornada híbrida </w:t>
      </w:r>
      <w:r w:rsidR="009622DF">
        <w:rPr>
          <w:rFonts w:ascii="Cambria" w:hAnsi="Cambria"/>
          <w:sz w:val="24"/>
          <w:szCs w:val="24"/>
        </w:rPr>
        <w:t>celebrada en el Campus de Madrid del Instituto de Salud Carlos III</w:t>
      </w:r>
      <w:r w:rsidR="00B534F6">
        <w:rPr>
          <w:rFonts w:ascii="Cambria" w:hAnsi="Cambria"/>
          <w:sz w:val="24"/>
          <w:szCs w:val="24"/>
        </w:rPr>
        <w:t xml:space="preserve">, en la que se han detallado los factores de riesgo y </w:t>
      </w:r>
      <w:r w:rsidR="00C80E22" w:rsidRPr="00C80E22">
        <w:rPr>
          <w:rFonts w:ascii="Cambria" w:hAnsi="Cambria"/>
          <w:sz w:val="24"/>
          <w:szCs w:val="24"/>
        </w:rPr>
        <w:t xml:space="preserve">pronóstico de los pacientes infectados por COVID- 19 que </w:t>
      </w:r>
      <w:r w:rsidR="00D025E4">
        <w:rPr>
          <w:rFonts w:ascii="Cambria" w:hAnsi="Cambria"/>
          <w:sz w:val="24"/>
          <w:szCs w:val="24"/>
        </w:rPr>
        <w:t>han ingresado en las 69</w:t>
      </w:r>
      <w:r w:rsidR="00C80E22" w:rsidRPr="00C80E22">
        <w:rPr>
          <w:rFonts w:ascii="Cambria" w:hAnsi="Cambria"/>
          <w:sz w:val="24"/>
          <w:szCs w:val="24"/>
        </w:rPr>
        <w:t xml:space="preserve"> </w:t>
      </w:r>
      <w:r w:rsidR="00D025E4">
        <w:rPr>
          <w:rFonts w:ascii="Cambria" w:hAnsi="Cambria"/>
          <w:sz w:val="24"/>
          <w:szCs w:val="24"/>
        </w:rPr>
        <w:t>UCI</w:t>
      </w:r>
      <w:r w:rsidR="00C80E22" w:rsidRPr="00C80E22">
        <w:rPr>
          <w:rFonts w:ascii="Cambria" w:hAnsi="Cambria"/>
          <w:sz w:val="24"/>
          <w:szCs w:val="24"/>
        </w:rPr>
        <w:t xml:space="preserve"> españolas</w:t>
      </w:r>
      <w:r w:rsidR="00D025E4">
        <w:rPr>
          <w:rFonts w:ascii="Cambria" w:hAnsi="Cambria"/>
          <w:sz w:val="24"/>
          <w:szCs w:val="24"/>
        </w:rPr>
        <w:t xml:space="preserve"> participantes</w:t>
      </w:r>
      <w:r w:rsidR="00C80E22" w:rsidRPr="00C80E22">
        <w:rPr>
          <w:rFonts w:ascii="Cambria" w:hAnsi="Cambria"/>
          <w:sz w:val="24"/>
          <w:szCs w:val="24"/>
        </w:rPr>
        <w:t xml:space="preserve"> desde que se inició la pandemia en España. </w:t>
      </w:r>
      <w:r>
        <w:rPr>
          <w:rFonts w:ascii="Cambria" w:hAnsi="Cambria"/>
          <w:sz w:val="24"/>
          <w:szCs w:val="24"/>
        </w:rPr>
        <w:t xml:space="preserve"> </w:t>
      </w:r>
    </w:p>
    <w:p w14:paraId="25B23B62" w14:textId="00D9E0AE" w:rsidR="00C80E22" w:rsidRDefault="00122A6C" w:rsidP="00D025E4">
      <w:pPr>
        <w:jc w:val="both"/>
        <w:rPr>
          <w:rFonts w:ascii="Cambria" w:hAnsi="Cambria"/>
          <w:sz w:val="24"/>
          <w:szCs w:val="24"/>
        </w:rPr>
      </w:pPr>
      <w:r>
        <w:rPr>
          <w:rFonts w:ascii="Cambria" w:hAnsi="Cambria"/>
          <w:sz w:val="24"/>
          <w:szCs w:val="24"/>
        </w:rPr>
        <w:t xml:space="preserve">Asimismo, se ha realizado un seguimiento de los pacientes desde el alta en la UCI y el alta hospitalaria hasta los seis meses, para determinar la mortalidad al año del alta de los pacientes COVID-19 que sobrevivan después del ingreso en críticos, estableciéndose esta tasa en un 1%. </w:t>
      </w:r>
    </w:p>
    <w:p w14:paraId="230F5A90" w14:textId="046E78FC" w:rsidR="00722190" w:rsidRPr="008249E0" w:rsidRDefault="00722190" w:rsidP="008249E0">
      <w:pPr>
        <w:jc w:val="both"/>
        <w:rPr>
          <w:rFonts w:ascii="Cambria" w:hAnsi="Cambria"/>
          <w:sz w:val="24"/>
          <w:szCs w:val="24"/>
        </w:rPr>
      </w:pPr>
      <w:r w:rsidRPr="008249E0">
        <w:rPr>
          <w:rFonts w:ascii="Cambria" w:hAnsi="Cambria"/>
          <w:sz w:val="24"/>
          <w:szCs w:val="24"/>
        </w:rPr>
        <w:t>Desde que en junio de 2020 comenzó el trabajo de campo con el primer paciente, CIBERESUCICOVID, que se prolongará hasta el 31 de diciembre de este año, ha contado con más de 5.700 pacientes y ha analizado 1.068 muestras de sangre para los estudios de epigenética y biomarcadores, superando ampliamente los objetivos iniciales marcados.</w:t>
      </w:r>
    </w:p>
    <w:p w14:paraId="680088EC" w14:textId="1E0A784A" w:rsidR="00122A6C" w:rsidRDefault="00122A6C" w:rsidP="00122A6C">
      <w:pPr>
        <w:jc w:val="both"/>
        <w:rPr>
          <w:rFonts w:ascii="Cambria" w:hAnsi="Cambria"/>
          <w:sz w:val="24"/>
          <w:szCs w:val="24"/>
        </w:rPr>
      </w:pPr>
      <w:r>
        <w:rPr>
          <w:rFonts w:ascii="Cambria" w:hAnsi="Cambria"/>
          <w:sz w:val="24"/>
          <w:szCs w:val="24"/>
        </w:rPr>
        <w:t xml:space="preserve">Entre las principales conclusiones, los investigadores del CIBERES han identificado a la adquisición de una neumonía intrahospitalaria durante el ingreso como un factor asociado con la persistencia de síntomas de coronavirus a los tres meses. Asimismo, explica Antoni Torres, </w:t>
      </w:r>
      <w:r w:rsidRPr="00E918D0">
        <w:rPr>
          <w:rFonts w:ascii="Cambria" w:hAnsi="Cambria"/>
          <w:i/>
          <w:sz w:val="24"/>
          <w:szCs w:val="24"/>
        </w:rPr>
        <w:t xml:space="preserve">“hemos estudiado el efecto sobre la mortalidad intrahospitalaria de los corticoides encontrándonos diversos fenotipos en los que </w:t>
      </w:r>
      <w:r w:rsidR="00E918D0" w:rsidRPr="00E918D0">
        <w:rPr>
          <w:rFonts w:ascii="Cambria" w:hAnsi="Cambria"/>
          <w:i/>
          <w:sz w:val="24"/>
          <w:szCs w:val="24"/>
        </w:rPr>
        <w:t xml:space="preserve">en los que no se observa un beneficio dependiendo de la edad, la gravedad inicial, el estado inflamatorio y la ausencia de </w:t>
      </w:r>
      <w:proofErr w:type="spellStart"/>
      <w:r w:rsidR="00E918D0" w:rsidRPr="00E918D0">
        <w:rPr>
          <w:rFonts w:ascii="Cambria" w:hAnsi="Cambria"/>
          <w:i/>
          <w:sz w:val="24"/>
          <w:szCs w:val="24"/>
        </w:rPr>
        <w:t>linfopenia</w:t>
      </w:r>
      <w:proofErr w:type="spellEnd"/>
      <w:r w:rsidR="00E918D0" w:rsidRPr="00E918D0">
        <w:rPr>
          <w:rFonts w:ascii="Cambria" w:hAnsi="Cambria"/>
          <w:i/>
          <w:sz w:val="24"/>
          <w:szCs w:val="24"/>
        </w:rPr>
        <w:t>. Nuestros resultados, por lo tanto, ayudarán a definir qué pacientes graves deben recibir corticoide</w:t>
      </w:r>
      <w:r w:rsidR="00E918D0">
        <w:rPr>
          <w:rFonts w:ascii="Cambria" w:hAnsi="Cambria"/>
          <w:sz w:val="24"/>
          <w:szCs w:val="24"/>
        </w:rPr>
        <w:t>s”.</w:t>
      </w:r>
    </w:p>
    <w:p w14:paraId="1273EA84" w14:textId="6E249FD0" w:rsidR="00F60844" w:rsidRPr="00F60844" w:rsidRDefault="00F60844" w:rsidP="00122A6C">
      <w:pPr>
        <w:jc w:val="both"/>
        <w:rPr>
          <w:rFonts w:ascii="Cambria" w:hAnsi="Cambria"/>
          <w:b/>
          <w:sz w:val="24"/>
          <w:szCs w:val="24"/>
        </w:rPr>
      </w:pPr>
      <w:r w:rsidRPr="00F60844">
        <w:rPr>
          <w:rFonts w:ascii="Cambria" w:hAnsi="Cambria"/>
          <w:b/>
          <w:sz w:val="24"/>
          <w:szCs w:val="24"/>
        </w:rPr>
        <w:t xml:space="preserve">Falta de control en la replicación del virus, la clave </w:t>
      </w:r>
    </w:p>
    <w:p w14:paraId="3C6B21C3" w14:textId="77777777" w:rsidR="00E918D0" w:rsidRDefault="00E918D0" w:rsidP="00122A6C">
      <w:pPr>
        <w:jc w:val="both"/>
        <w:rPr>
          <w:rFonts w:ascii="Cambria" w:hAnsi="Cambria"/>
          <w:sz w:val="24"/>
          <w:szCs w:val="24"/>
        </w:rPr>
      </w:pPr>
      <w:r>
        <w:rPr>
          <w:rFonts w:ascii="Cambria" w:hAnsi="Cambria"/>
          <w:sz w:val="24"/>
          <w:szCs w:val="24"/>
        </w:rPr>
        <w:t xml:space="preserve">La enfermedad crítica por COVID-19 se caracteriza por la falta de control de la replicación del virus por parte del sistema inmune, reflejada en una diseminación a nivel sistémico de material vírico, lo que va en paralelo a una respuesta desregulada del huésped que se asocia a peor pronóstico. </w:t>
      </w:r>
    </w:p>
    <w:p w14:paraId="6FA4BD99" w14:textId="673EF17A" w:rsidR="00E918D0" w:rsidRPr="00954579" w:rsidRDefault="00E918D0" w:rsidP="00122A6C">
      <w:pPr>
        <w:jc w:val="both"/>
        <w:rPr>
          <w:rFonts w:ascii="Cambria" w:hAnsi="Cambria"/>
          <w:i/>
          <w:sz w:val="24"/>
          <w:szCs w:val="24"/>
        </w:rPr>
      </w:pPr>
      <w:r>
        <w:rPr>
          <w:rFonts w:ascii="Cambria" w:hAnsi="Cambria"/>
          <w:sz w:val="24"/>
          <w:szCs w:val="24"/>
        </w:rPr>
        <w:t>Según indica</w:t>
      </w:r>
      <w:r w:rsidR="00954579">
        <w:rPr>
          <w:rFonts w:ascii="Cambria" w:hAnsi="Cambria"/>
          <w:sz w:val="24"/>
          <w:szCs w:val="24"/>
        </w:rPr>
        <w:t xml:space="preserve"> </w:t>
      </w:r>
      <w:r w:rsidR="00722190">
        <w:rPr>
          <w:rFonts w:ascii="Cambria" w:hAnsi="Cambria"/>
          <w:sz w:val="24"/>
          <w:szCs w:val="24"/>
        </w:rPr>
        <w:t>investigador</w:t>
      </w:r>
      <w:r w:rsidR="00025E81">
        <w:rPr>
          <w:rFonts w:ascii="Cambria" w:hAnsi="Cambria"/>
          <w:sz w:val="24"/>
          <w:szCs w:val="24"/>
        </w:rPr>
        <w:t xml:space="preserve"> del CIBERES </w:t>
      </w:r>
      <w:r w:rsidR="00722190">
        <w:rPr>
          <w:rFonts w:ascii="Cambria" w:hAnsi="Cambria"/>
          <w:sz w:val="24"/>
          <w:szCs w:val="24"/>
        </w:rPr>
        <w:t>Jesús Berme</w:t>
      </w:r>
      <w:r w:rsidR="008249E0">
        <w:rPr>
          <w:rFonts w:ascii="Cambria" w:hAnsi="Cambria"/>
          <w:sz w:val="24"/>
          <w:szCs w:val="24"/>
        </w:rPr>
        <w:t>j</w:t>
      </w:r>
      <w:r w:rsidR="00722190">
        <w:rPr>
          <w:rFonts w:ascii="Cambria" w:hAnsi="Cambria"/>
          <w:sz w:val="24"/>
          <w:szCs w:val="24"/>
        </w:rPr>
        <w:t>o</w:t>
      </w:r>
      <w:r w:rsidR="00954579">
        <w:rPr>
          <w:rFonts w:ascii="Cambria" w:hAnsi="Cambria"/>
          <w:sz w:val="24"/>
          <w:szCs w:val="24"/>
        </w:rPr>
        <w:t>, que también ha participado en el proyecto,</w:t>
      </w:r>
      <w:r>
        <w:rPr>
          <w:rFonts w:ascii="Cambria" w:hAnsi="Cambria"/>
          <w:sz w:val="24"/>
          <w:szCs w:val="24"/>
        </w:rPr>
        <w:t xml:space="preserve"> </w:t>
      </w:r>
      <w:r w:rsidRPr="00954579">
        <w:rPr>
          <w:rFonts w:ascii="Cambria" w:hAnsi="Cambria"/>
          <w:i/>
          <w:sz w:val="24"/>
          <w:szCs w:val="24"/>
        </w:rPr>
        <w:t xml:space="preserve">“los niveles altos de ARN vírico en plasma, la presencia de </w:t>
      </w:r>
      <w:proofErr w:type="spellStart"/>
      <w:r w:rsidRPr="00954579">
        <w:rPr>
          <w:rFonts w:ascii="Cambria" w:hAnsi="Cambria"/>
          <w:i/>
          <w:sz w:val="24"/>
          <w:szCs w:val="24"/>
        </w:rPr>
        <w:t>antigenemia</w:t>
      </w:r>
      <w:proofErr w:type="spellEnd"/>
      <w:r w:rsidRPr="00954579">
        <w:rPr>
          <w:rFonts w:ascii="Cambria" w:hAnsi="Cambria"/>
          <w:i/>
          <w:sz w:val="24"/>
          <w:szCs w:val="24"/>
        </w:rPr>
        <w:t xml:space="preserve"> </w:t>
      </w:r>
      <w:r w:rsidR="00954579">
        <w:rPr>
          <w:rFonts w:ascii="Cambria" w:hAnsi="Cambria"/>
          <w:i/>
          <w:sz w:val="24"/>
          <w:szCs w:val="24"/>
        </w:rPr>
        <w:t xml:space="preserve">es decir, </w:t>
      </w:r>
      <w:r w:rsidR="00954579" w:rsidRPr="00954579">
        <w:rPr>
          <w:rFonts w:ascii="Cambria" w:hAnsi="Cambria"/>
          <w:i/>
          <w:sz w:val="24"/>
          <w:szCs w:val="24"/>
        </w:rPr>
        <w:t>cuando pasan las proteínas del Sars-CoV-2 a la sangre lo cual refleja un pobre control de la replicación del virus con daño en la barrera alveolo-capilar</w:t>
      </w:r>
      <w:r w:rsidR="00954579">
        <w:rPr>
          <w:rFonts w:ascii="Cambria" w:hAnsi="Cambria"/>
          <w:i/>
          <w:sz w:val="24"/>
          <w:szCs w:val="24"/>
        </w:rPr>
        <w:t xml:space="preserve">; </w:t>
      </w:r>
      <w:r w:rsidR="00954579" w:rsidRPr="00954579">
        <w:rPr>
          <w:rFonts w:ascii="Cambria" w:hAnsi="Cambria"/>
          <w:i/>
          <w:sz w:val="24"/>
          <w:szCs w:val="24"/>
        </w:rPr>
        <w:t xml:space="preserve"> </w:t>
      </w:r>
      <w:r w:rsidRPr="00954579">
        <w:rPr>
          <w:rFonts w:ascii="Cambria" w:hAnsi="Cambria"/>
          <w:i/>
          <w:sz w:val="24"/>
          <w:szCs w:val="24"/>
        </w:rPr>
        <w:t xml:space="preserve">y los bajos niveles de anticuerpos anti-S son predictores de mal pronóstico, </w:t>
      </w:r>
      <w:r w:rsidRPr="00954579">
        <w:rPr>
          <w:rFonts w:ascii="Cambria" w:hAnsi="Cambria"/>
          <w:i/>
          <w:sz w:val="24"/>
          <w:szCs w:val="24"/>
        </w:rPr>
        <w:lastRenderedPageBreak/>
        <w:t>pero también potenciales marcadores de enriquecimiento predictivo para guiar mejor los tratamientos con antivirales o anticuerpos monoclonales en esta enfermedad”.</w:t>
      </w:r>
    </w:p>
    <w:p w14:paraId="5CA9CDFF" w14:textId="03E4711A" w:rsidR="00E918D0" w:rsidRDefault="00EC6F4D" w:rsidP="00122A6C">
      <w:pPr>
        <w:jc w:val="both"/>
        <w:rPr>
          <w:rFonts w:ascii="Cambria" w:hAnsi="Cambria"/>
          <w:sz w:val="24"/>
          <w:szCs w:val="24"/>
        </w:rPr>
      </w:pPr>
      <w:r>
        <w:rPr>
          <w:rFonts w:ascii="Cambria" w:hAnsi="Cambria"/>
          <w:sz w:val="24"/>
          <w:szCs w:val="24"/>
        </w:rPr>
        <w:t>Los cuadros clínicos graves muestran perfiles característicos tanto en plasma como en aspirados bronquiales, que proporcionan información molecular sobre los mecanismos que median el deterioro del paciente crítico y “</w:t>
      </w:r>
      <w:r w:rsidRPr="00F60844">
        <w:rPr>
          <w:rFonts w:ascii="Cambria" w:hAnsi="Cambria"/>
          <w:i/>
          <w:sz w:val="24"/>
          <w:szCs w:val="24"/>
        </w:rPr>
        <w:t>surgen como herramientas útiles en toma de decisiones clínicas”</w:t>
      </w:r>
      <w:r>
        <w:rPr>
          <w:rFonts w:ascii="Cambria" w:hAnsi="Cambria"/>
          <w:sz w:val="24"/>
          <w:szCs w:val="24"/>
        </w:rPr>
        <w:t xml:space="preserve">, indica </w:t>
      </w:r>
      <w:r w:rsidR="00954579">
        <w:rPr>
          <w:rFonts w:ascii="Cambria" w:hAnsi="Cambria"/>
          <w:sz w:val="24"/>
          <w:szCs w:val="24"/>
        </w:rPr>
        <w:t xml:space="preserve">asimismo </w:t>
      </w:r>
      <w:r w:rsidR="00025E81">
        <w:rPr>
          <w:rFonts w:ascii="Cambria" w:hAnsi="Cambria"/>
          <w:sz w:val="24"/>
          <w:szCs w:val="24"/>
        </w:rPr>
        <w:t>Antoni Torres.</w:t>
      </w:r>
      <w:r>
        <w:rPr>
          <w:rFonts w:ascii="Cambria" w:hAnsi="Cambria"/>
          <w:sz w:val="24"/>
          <w:szCs w:val="24"/>
        </w:rPr>
        <w:t xml:space="preserve"> </w:t>
      </w:r>
    </w:p>
    <w:p w14:paraId="3F82228A" w14:textId="6F33D744" w:rsidR="00EC6F4D" w:rsidRDefault="00EC6F4D" w:rsidP="00122A6C">
      <w:pPr>
        <w:jc w:val="both"/>
        <w:rPr>
          <w:rFonts w:ascii="Cambria" w:hAnsi="Cambria"/>
          <w:sz w:val="24"/>
          <w:szCs w:val="24"/>
        </w:rPr>
      </w:pPr>
      <w:r>
        <w:rPr>
          <w:rFonts w:ascii="Cambria" w:hAnsi="Cambria"/>
          <w:sz w:val="24"/>
          <w:szCs w:val="24"/>
        </w:rPr>
        <w:t xml:space="preserve">Del mismo modo, las alteraciones pulmonares funcionales y estructurales en los supervivientes de cuadros clínicos graves de COVID-19 se asocian como patrones sanguíneos </w:t>
      </w:r>
      <w:proofErr w:type="spellStart"/>
      <w:r>
        <w:rPr>
          <w:rFonts w:ascii="Cambria" w:hAnsi="Cambria"/>
          <w:sz w:val="24"/>
          <w:szCs w:val="24"/>
        </w:rPr>
        <w:t>transcriptómicos</w:t>
      </w:r>
      <w:proofErr w:type="spellEnd"/>
      <w:r>
        <w:rPr>
          <w:rFonts w:ascii="Cambria" w:hAnsi="Cambria"/>
          <w:sz w:val="24"/>
          <w:szCs w:val="24"/>
        </w:rPr>
        <w:t xml:space="preserve"> y proteómicos específicos, por lo que los mecanismos multifactoriales vinculados a estos perfiles constituyen la base para el desarrollo de estrategias  terapéuticas.</w:t>
      </w:r>
    </w:p>
    <w:p w14:paraId="27B1E891" w14:textId="322985B4" w:rsidR="00EC6F4D" w:rsidRDefault="00EC6F4D" w:rsidP="00122A6C">
      <w:pPr>
        <w:jc w:val="both"/>
        <w:rPr>
          <w:rFonts w:ascii="Cambria" w:hAnsi="Cambria"/>
          <w:sz w:val="24"/>
          <w:szCs w:val="24"/>
        </w:rPr>
      </w:pPr>
      <w:r>
        <w:rPr>
          <w:rFonts w:ascii="Cambria" w:hAnsi="Cambria"/>
          <w:sz w:val="24"/>
          <w:szCs w:val="24"/>
        </w:rPr>
        <w:t xml:space="preserve">El proyecto CIBERESUCICOVID ha sido el punto de partida del desarrollo de la patente </w:t>
      </w:r>
      <w:r w:rsidR="00900B27">
        <w:rPr>
          <w:rFonts w:ascii="Cambria" w:hAnsi="Cambria"/>
          <w:sz w:val="24"/>
          <w:szCs w:val="24"/>
        </w:rPr>
        <w:t>“</w:t>
      </w:r>
      <w:r w:rsidR="00900B27" w:rsidRPr="00900B27">
        <w:rPr>
          <w:rFonts w:ascii="Cambria" w:hAnsi="Cambria"/>
        </w:rPr>
        <w:t xml:space="preserve">In Vitro </w:t>
      </w:r>
      <w:proofErr w:type="spellStart"/>
      <w:r w:rsidR="00900B27" w:rsidRPr="00900B27">
        <w:rPr>
          <w:rFonts w:ascii="Cambria" w:hAnsi="Cambria"/>
        </w:rPr>
        <w:t>Method</w:t>
      </w:r>
      <w:proofErr w:type="spellEnd"/>
      <w:r w:rsidR="00900B27" w:rsidRPr="00900B27">
        <w:rPr>
          <w:rFonts w:ascii="Cambria" w:hAnsi="Cambria"/>
        </w:rPr>
        <w:t xml:space="preserve"> </w:t>
      </w:r>
      <w:proofErr w:type="spellStart"/>
      <w:r w:rsidR="00900B27" w:rsidRPr="00900B27">
        <w:rPr>
          <w:rFonts w:ascii="Cambria" w:hAnsi="Cambria"/>
        </w:rPr>
        <w:t>For</w:t>
      </w:r>
      <w:proofErr w:type="spellEnd"/>
      <w:r w:rsidR="00900B27" w:rsidRPr="00900B27">
        <w:rPr>
          <w:rFonts w:ascii="Cambria" w:hAnsi="Cambria"/>
        </w:rPr>
        <w:t xml:space="preserve"> </w:t>
      </w:r>
      <w:proofErr w:type="spellStart"/>
      <w:r w:rsidR="00900B27" w:rsidRPr="00900B27">
        <w:rPr>
          <w:rFonts w:ascii="Cambria" w:hAnsi="Cambria"/>
        </w:rPr>
        <w:t>Predicting</w:t>
      </w:r>
      <w:proofErr w:type="spellEnd"/>
      <w:r w:rsidR="00900B27" w:rsidRPr="00900B27">
        <w:rPr>
          <w:rFonts w:ascii="Cambria" w:hAnsi="Cambria"/>
        </w:rPr>
        <w:t xml:space="preserve"> </w:t>
      </w:r>
      <w:proofErr w:type="spellStart"/>
      <w:r w:rsidR="00900B27" w:rsidRPr="00900B27">
        <w:rPr>
          <w:rFonts w:ascii="Cambria" w:hAnsi="Cambria"/>
        </w:rPr>
        <w:t>Mortality</w:t>
      </w:r>
      <w:proofErr w:type="spellEnd"/>
      <w:r w:rsidR="00900B27" w:rsidRPr="00900B27">
        <w:rPr>
          <w:rFonts w:ascii="Cambria" w:hAnsi="Cambria"/>
        </w:rPr>
        <w:t xml:space="preserve"> In Covid-19 </w:t>
      </w:r>
      <w:proofErr w:type="spellStart"/>
      <w:r w:rsidR="00900B27" w:rsidRPr="00900B27">
        <w:rPr>
          <w:rFonts w:ascii="Cambria" w:hAnsi="Cambria"/>
        </w:rPr>
        <w:t>Patients</w:t>
      </w:r>
      <w:proofErr w:type="spellEnd"/>
      <w:r w:rsidR="00900B27">
        <w:rPr>
          <w:rFonts w:ascii="Cambria" w:hAnsi="Cambria"/>
        </w:rPr>
        <w:t>”</w:t>
      </w:r>
      <w:r w:rsidR="009622DF">
        <w:rPr>
          <w:rFonts w:ascii="Cambria" w:hAnsi="Cambria"/>
          <w:sz w:val="24"/>
          <w:szCs w:val="24"/>
        </w:rPr>
        <w:t>. S</w:t>
      </w:r>
      <w:r>
        <w:rPr>
          <w:rFonts w:ascii="Cambria" w:hAnsi="Cambria"/>
          <w:sz w:val="24"/>
          <w:szCs w:val="24"/>
        </w:rPr>
        <w:t xml:space="preserve">us resultados se han visto reflejados en 18 publicaciones científicas, </w:t>
      </w:r>
      <w:hyperlink r:id="rId8" w:history="1">
        <w:r w:rsidR="009622DF" w:rsidRPr="009622DF">
          <w:rPr>
            <w:rStyle w:val="Hipervnculo"/>
            <w:rFonts w:ascii="Cambria" w:hAnsi="Cambria"/>
            <w:sz w:val="24"/>
            <w:szCs w:val="24"/>
          </w:rPr>
          <w:t xml:space="preserve">como la publicada en </w:t>
        </w:r>
        <w:proofErr w:type="spellStart"/>
        <w:r w:rsidR="009622DF" w:rsidRPr="009622DF">
          <w:rPr>
            <w:rStyle w:val="Hipervnculo"/>
            <w:rFonts w:ascii="Cambria" w:hAnsi="Cambria"/>
            <w:sz w:val="24"/>
            <w:szCs w:val="24"/>
          </w:rPr>
          <w:t>Journal</w:t>
        </w:r>
        <w:proofErr w:type="spellEnd"/>
        <w:r w:rsidR="009622DF" w:rsidRPr="009622DF">
          <w:rPr>
            <w:rStyle w:val="Hipervnculo"/>
            <w:rFonts w:ascii="Cambria" w:hAnsi="Cambria"/>
            <w:sz w:val="24"/>
            <w:szCs w:val="24"/>
          </w:rPr>
          <w:t xml:space="preserve"> </w:t>
        </w:r>
        <w:proofErr w:type="spellStart"/>
        <w:r w:rsidR="009622DF" w:rsidRPr="009622DF">
          <w:rPr>
            <w:rStyle w:val="Hipervnculo"/>
            <w:rFonts w:ascii="Cambria" w:hAnsi="Cambria"/>
            <w:sz w:val="24"/>
            <w:szCs w:val="24"/>
          </w:rPr>
          <w:t>of</w:t>
        </w:r>
        <w:proofErr w:type="spellEnd"/>
        <w:r w:rsidR="009622DF" w:rsidRPr="009622DF">
          <w:rPr>
            <w:rStyle w:val="Hipervnculo"/>
            <w:rFonts w:ascii="Cambria" w:hAnsi="Cambria"/>
            <w:sz w:val="24"/>
            <w:szCs w:val="24"/>
          </w:rPr>
          <w:t xml:space="preserve"> </w:t>
        </w:r>
        <w:proofErr w:type="spellStart"/>
        <w:r w:rsidR="009622DF" w:rsidRPr="009622DF">
          <w:rPr>
            <w:rStyle w:val="Hipervnculo"/>
            <w:rFonts w:ascii="Cambria" w:hAnsi="Cambria"/>
            <w:sz w:val="24"/>
            <w:szCs w:val="24"/>
          </w:rPr>
          <w:t>Internal</w:t>
        </w:r>
        <w:proofErr w:type="spellEnd"/>
        <w:r w:rsidR="009622DF" w:rsidRPr="009622DF">
          <w:rPr>
            <w:rStyle w:val="Hipervnculo"/>
            <w:rFonts w:ascii="Cambria" w:hAnsi="Cambria"/>
            <w:sz w:val="24"/>
            <w:szCs w:val="24"/>
          </w:rPr>
          <w:t xml:space="preserve"> Medicine el pasado octubre</w:t>
        </w:r>
      </w:hyperlink>
      <w:r w:rsidR="009622DF">
        <w:rPr>
          <w:rFonts w:ascii="Cambria" w:hAnsi="Cambria"/>
          <w:sz w:val="24"/>
          <w:szCs w:val="24"/>
        </w:rPr>
        <w:t>,</w:t>
      </w:r>
      <w:r>
        <w:rPr>
          <w:rFonts w:ascii="Cambria" w:hAnsi="Cambria"/>
          <w:sz w:val="24"/>
          <w:szCs w:val="24"/>
        </w:rPr>
        <w:t xml:space="preserve"> se han presentado en 9 congresos y jornadas nacionales e internacionales y han contado con gran difusión mediática nacional e internacional. </w:t>
      </w:r>
    </w:p>
    <w:p w14:paraId="60DB0B0C" w14:textId="1B4AB047" w:rsidR="00122A6C" w:rsidRPr="00652971" w:rsidRDefault="00652971" w:rsidP="00122A6C">
      <w:pPr>
        <w:jc w:val="both"/>
        <w:rPr>
          <w:rFonts w:ascii="Cambria" w:hAnsi="Cambria"/>
          <w:b/>
          <w:sz w:val="24"/>
          <w:szCs w:val="24"/>
        </w:rPr>
      </w:pPr>
      <w:r w:rsidRPr="00652971">
        <w:rPr>
          <w:rFonts w:ascii="Cambria" w:hAnsi="Cambria"/>
          <w:b/>
          <w:sz w:val="24"/>
          <w:szCs w:val="24"/>
        </w:rPr>
        <w:t>Más información:</w:t>
      </w:r>
    </w:p>
    <w:p w14:paraId="586E5FC4" w14:textId="77777777" w:rsidR="00652971" w:rsidRPr="00652971" w:rsidRDefault="00AE4A9B" w:rsidP="00652971">
      <w:pPr>
        <w:pStyle w:val="Textocomentario"/>
        <w:rPr>
          <w:rFonts w:asciiTheme="majorHAnsi" w:hAnsiTheme="majorHAnsi"/>
          <w:sz w:val="24"/>
          <w:szCs w:val="24"/>
        </w:rPr>
      </w:pPr>
      <w:hyperlink r:id="rId9" w:history="1">
        <w:r w:rsidR="00652971" w:rsidRPr="00652971">
          <w:rPr>
            <w:rStyle w:val="Hipervnculo"/>
            <w:rFonts w:asciiTheme="majorHAnsi" w:hAnsiTheme="majorHAnsi"/>
            <w:sz w:val="24"/>
            <w:szCs w:val="24"/>
          </w:rPr>
          <w:t>https://www.ciberes.org/sala-de-prensa/ciberesucicovid</w:t>
        </w:r>
      </w:hyperlink>
    </w:p>
    <w:p w14:paraId="75C71987" w14:textId="11FF06CF" w:rsidR="003756F3" w:rsidRPr="00DD0A6A" w:rsidRDefault="003756F3" w:rsidP="003756F3">
      <w:pPr>
        <w:suppressAutoHyphens/>
        <w:spacing w:line="240" w:lineRule="auto"/>
        <w:jc w:val="both"/>
        <w:rPr>
          <w:rFonts w:ascii="Cambria" w:hAnsi="Cambria"/>
          <w:b/>
          <w:kern w:val="1"/>
          <w:sz w:val="24"/>
          <w:szCs w:val="24"/>
        </w:rPr>
      </w:pPr>
      <w:r w:rsidRPr="00DD0A6A">
        <w:rPr>
          <w:rFonts w:ascii="Cambria" w:hAnsi="Cambria"/>
          <w:b/>
          <w:kern w:val="1"/>
          <w:sz w:val="24"/>
          <w:szCs w:val="24"/>
        </w:rPr>
        <w:t>Sobre el CIBERES</w:t>
      </w:r>
    </w:p>
    <w:p w14:paraId="12852AD2" w14:textId="7B845CF7" w:rsidR="003756F3" w:rsidRDefault="003756F3" w:rsidP="00DD0A6A">
      <w:pPr>
        <w:suppressAutoHyphens/>
        <w:jc w:val="both"/>
        <w:rPr>
          <w:rFonts w:ascii="Cambria" w:hAnsi="Cambria"/>
          <w:sz w:val="24"/>
          <w:szCs w:val="24"/>
        </w:rPr>
      </w:pPr>
      <w:r w:rsidRPr="00DD0A6A">
        <w:rPr>
          <w:rFonts w:ascii="Cambria" w:hAnsi="Cambria"/>
          <w:sz w:val="24"/>
          <w:szCs w:val="24"/>
        </w:rPr>
        <w:t>El Centro de Investigación Biomédica en Red (CIBER) es un consorcio dependiente del Instituto de Salud Carlos III (Ministerio de Ciencia e Innovación) y cofinanciado con fondos FEDER. El CIBER de Enfermedades Respiratorias (CIBERES) tiene como finalidad fomentar y facilitar la investigación de las enfermedades respiratorias por medio de la investigación de excelencia y su traslación rápida y segura a la práctica clínica. Creado en 2007, el CIBERES reúne actualmente a cerca de 400 investigadores de 9 comunidades autónomas que trabajan conjuntamente en 3 Programas Científicos, que integran las siguientes líneas de investigación: cáncer de pulmón, apneas del sueño, fibrosis pulmonar, hipertensión pulmonar, asma, lesión pulmonar aguda, tuberculosis, neumonías, Enfermedad Pulmonar Obstructiva Crónica (EPOC) y nuevas dianas terapéuticas.</w:t>
      </w:r>
    </w:p>
    <w:p w14:paraId="70C872AC" w14:textId="131CF7D8" w:rsidR="006A29A8" w:rsidRPr="00652971" w:rsidRDefault="00652971" w:rsidP="00652971">
      <w:pPr>
        <w:suppressAutoHyphens/>
        <w:spacing w:line="240" w:lineRule="auto"/>
        <w:jc w:val="both"/>
        <w:rPr>
          <w:rFonts w:ascii="Cambria" w:hAnsi="Cambria"/>
          <w:b/>
          <w:kern w:val="1"/>
          <w:sz w:val="24"/>
          <w:szCs w:val="24"/>
        </w:rPr>
      </w:pPr>
      <w:r w:rsidRPr="00652971">
        <w:rPr>
          <w:rFonts w:ascii="Cambria" w:hAnsi="Cambria"/>
          <w:b/>
          <w:kern w:val="1"/>
          <w:sz w:val="24"/>
          <w:szCs w:val="24"/>
        </w:rPr>
        <w:t xml:space="preserve">Sobre el </w:t>
      </w:r>
      <w:r w:rsidR="006A29A8" w:rsidRPr="00652971">
        <w:rPr>
          <w:rFonts w:ascii="Cambria" w:hAnsi="Cambria"/>
          <w:b/>
          <w:kern w:val="1"/>
          <w:sz w:val="24"/>
          <w:szCs w:val="24"/>
        </w:rPr>
        <w:t>Fondo COVID ISCIII</w:t>
      </w:r>
    </w:p>
    <w:p w14:paraId="2A4C9DC2" w14:textId="5A56937E" w:rsidR="006A29A8" w:rsidRPr="00652971" w:rsidRDefault="006A29A8" w:rsidP="008249E0">
      <w:pPr>
        <w:suppressAutoHyphens/>
        <w:jc w:val="both"/>
        <w:rPr>
          <w:rFonts w:ascii="Cambria" w:hAnsi="Cambria"/>
          <w:sz w:val="24"/>
          <w:szCs w:val="24"/>
        </w:rPr>
      </w:pPr>
      <w:r w:rsidRPr="00652971">
        <w:rPr>
          <w:rFonts w:ascii="Cambria" w:hAnsi="Cambria"/>
          <w:sz w:val="24"/>
          <w:szCs w:val="24"/>
        </w:rPr>
        <w:t xml:space="preserve">El estudio CIBERESUCICOVID es posible gracias a la ayuda que el CIBER recibió del Fondo COVID-19 y que fue concedida por el Instituto de Salud Carlos III (ISCIII) para apoyar proyectos de investigación que mejorarán el abordaje clínico del COVID-19. Estas ayudas están dirigidas a impulsar propuestas "que permitan una </w:t>
      </w:r>
      <w:r w:rsidRPr="00652971">
        <w:rPr>
          <w:rFonts w:ascii="Cambria" w:hAnsi="Cambria"/>
          <w:sz w:val="24"/>
          <w:szCs w:val="24"/>
        </w:rPr>
        <w:lastRenderedPageBreak/>
        <w:t>implementación y puesta en marcha inmediata en el Sistema Nacional de Salud, con resultados concretos, tempranos y aplicables a la situación actual de urgencia generada por el impacto de esta pandemia”, según recoge la convocatoria del ISCIII.</w:t>
      </w:r>
    </w:p>
    <w:sectPr w:rsidR="006A29A8" w:rsidRPr="00652971">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6FE65" w14:textId="77777777" w:rsidR="00F4350A" w:rsidRDefault="00F4350A" w:rsidP="003756F3">
      <w:pPr>
        <w:spacing w:after="0" w:line="240" w:lineRule="auto"/>
      </w:pPr>
      <w:r>
        <w:separator/>
      </w:r>
    </w:p>
  </w:endnote>
  <w:endnote w:type="continuationSeparator" w:id="0">
    <w:p w14:paraId="09DEEEE4" w14:textId="77777777" w:rsidR="00F4350A" w:rsidRDefault="00F4350A" w:rsidP="00375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4013A" w14:textId="77777777" w:rsidR="00F4350A" w:rsidRDefault="00F4350A" w:rsidP="003756F3">
      <w:pPr>
        <w:spacing w:after="0" w:line="240" w:lineRule="auto"/>
      </w:pPr>
      <w:r>
        <w:separator/>
      </w:r>
    </w:p>
  </w:footnote>
  <w:footnote w:type="continuationSeparator" w:id="0">
    <w:p w14:paraId="58252DFC" w14:textId="77777777" w:rsidR="00F4350A" w:rsidRDefault="00F4350A" w:rsidP="00375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2F079" w14:textId="77777777" w:rsidR="003756F3" w:rsidRDefault="003756F3" w:rsidP="003756F3">
    <w:pPr>
      <w:pStyle w:val="Encabezado"/>
    </w:pPr>
    <w:r w:rsidRPr="00C47DBA">
      <w:rPr>
        <w:noProof/>
        <w:lang w:eastAsia="es-ES"/>
      </w:rPr>
      <w:drawing>
        <wp:anchor distT="0" distB="0" distL="114300" distR="114300" simplePos="0" relativeHeight="251663360" behindDoc="0" locked="0" layoutInCell="1" allowOverlap="1" wp14:anchorId="4390C07B" wp14:editId="23350980">
          <wp:simplePos x="0" y="0"/>
          <wp:positionH relativeFrom="column">
            <wp:posOffset>5596890</wp:posOffset>
          </wp:positionH>
          <wp:positionV relativeFrom="paragraph">
            <wp:posOffset>182245</wp:posOffset>
          </wp:positionV>
          <wp:extent cx="609600" cy="494030"/>
          <wp:effectExtent l="0" t="0" r="0" b="12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94030"/>
                  </a:xfrm>
                  <a:prstGeom prst="rect">
                    <a:avLst/>
                  </a:prstGeom>
                  <a:noFill/>
                </pic:spPr>
              </pic:pic>
            </a:graphicData>
          </a:graphic>
          <wp14:sizeRelH relativeFrom="page">
            <wp14:pctWidth>0</wp14:pctWidth>
          </wp14:sizeRelH>
          <wp14:sizeRelV relativeFrom="page">
            <wp14:pctHeight>0</wp14:pctHeight>
          </wp14:sizeRelV>
        </wp:anchor>
      </w:drawing>
    </w:r>
    <w:r w:rsidRPr="00C47DBA">
      <w:rPr>
        <w:noProof/>
        <w:lang w:eastAsia="es-ES"/>
      </w:rPr>
      <w:drawing>
        <wp:anchor distT="0" distB="0" distL="114300" distR="114300" simplePos="0" relativeHeight="251661312" behindDoc="0" locked="0" layoutInCell="1" allowOverlap="1" wp14:anchorId="44BA2CAC" wp14:editId="35508CAA">
          <wp:simplePos x="0" y="0"/>
          <wp:positionH relativeFrom="column">
            <wp:posOffset>3908425</wp:posOffset>
          </wp:positionH>
          <wp:positionV relativeFrom="paragraph">
            <wp:posOffset>150533</wp:posOffset>
          </wp:positionV>
          <wp:extent cx="1688465" cy="447675"/>
          <wp:effectExtent l="0" t="0" r="698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
                    <a:extLst>
                      <a:ext uri="{28A0092B-C50C-407E-A947-70E740481C1C}">
                        <a14:useLocalDpi xmlns:a14="http://schemas.microsoft.com/office/drawing/2010/main" val="0"/>
                      </a:ext>
                    </a:extLst>
                  </a:blip>
                  <a:srcRect l="46565"/>
                  <a:stretch>
                    <a:fillRect/>
                  </a:stretch>
                </pic:blipFill>
                <pic:spPr bwMode="auto">
                  <a:xfrm>
                    <a:off x="0" y="0"/>
                    <a:ext cx="1688465" cy="4476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ES"/>
      </w:rPr>
      <w:drawing>
        <wp:inline distT="0" distB="0" distL="0" distR="0" wp14:anchorId="6E3128DA" wp14:editId="6EF91DE4">
          <wp:extent cx="1381125" cy="676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81125" cy="676275"/>
                  </a:xfrm>
                  <a:prstGeom prst="rect">
                    <a:avLst/>
                  </a:prstGeom>
                  <a:noFill/>
                  <a:ln>
                    <a:noFill/>
                  </a:ln>
                </pic:spPr>
              </pic:pic>
            </a:graphicData>
          </a:graphic>
        </wp:inline>
      </w:drawing>
    </w:r>
    <w:r>
      <w:rPr>
        <w:noProof/>
        <w:lang w:eastAsia="es-ES"/>
      </w:rPr>
      <w:drawing>
        <wp:anchor distT="0" distB="0" distL="114300" distR="114300" simplePos="0" relativeHeight="251659264" behindDoc="0" locked="0" layoutInCell="1" allowOverlap="1" wp14:anchorId="65FCA6D7" wp14:editId="28997F6B">
          <wp:simplePos x="0" y="0"/>
          <wp:positionH relativeFrom="column">
            <wp:posOffset>2332355</wp:posOffset>
          </wp:positionH>
          <wp:positionV relativeFrom="paragraph">
            <wp:posOffset>148590</wp:posOffset>
          </wp:positionV>
          <wp:extent cx="1533525" cy="524510"/>
          <wp:effectExtent l="0" t="0" r="9525" b="8890"/>
          <wp:wrapNone/>
          <wp:docPr id="2" name="Imagen 2" descr="LOGO-03-ISCIII-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03-ISCIII-GRAND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3525" cy="5245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6450"/>
    <w:multiLevelType w:val="hybridMultilevel"/>
    <w:tmpl w:val="506EE39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2A082F3B"/>
    <w:multiLevelType w:val="hybridMultilevel"/>
    <w:tmpl w:val="3272CE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6FD2A99"/>
    <w:multiLevelType w:val="hybridMultilevel"/>
    <w:tmpl w:val="EC68087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4B567605"/>
    <w:multiLevelType w:val="hybridMultilevel"/>
    <w:tmpl w:val="DD9067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E8F"/>
    <w:rsid w:val="00021FAC"/>
    <w:rsid w:val="0002537B"/>
    <w:rsid w:val="00025E81"/>
    <w:rsid w:val="00026C07"/>
    <w:rsid w:val="00103AF5"/>
    <w:rsid w:val="00104D9C"/>
    <w:rsid w:val="00115D84"/>
    <w:rsid w:val="00122A6C"/>
    <w:rsid w:val="00145AF2"/>
    <w:rsid w:val="00197269"/>
    <w:rsid w:val="001E70C1"/>
    <w:rsid w:val="001F6CAC"/>
    <w:rsid w:val="00250002"/>
    <w:rsid w:val="00281B2B"/>
    <w:rsid w:val="002914F9"/>
    <w:rsid w:val="00292FB1"/>
    <w:rsid w:val="00295ACC"/>
    <w:rsid w:val="002E2587"/>
    <w:rsid w:val="002E273D"/>
    <w:rsid w:val="002E331E"/>
    <w:rsid w:val="00301A95"/>
    <w:rsid w:val="003024D1"/>
    <w:rsid w:val="003047B1"/>
    <w:rsid w:val="00310861"/>
    <w:rsid w:val="00317B61"/>
    <w:rsid w:val="003756F3"/>
    <w:rsid w:val="003771A5"/>
    <w:rsid w:val="003B1658"/>
    <w:rsid w:val="003F1323"/>
    <w:rsid w:val="00421801"/>
    <w:rsid w:val="0043638D"/>
    <w:rsid w:val="00452E09"/>
    <w:rsid w:val="00457812"/>
    <w:rsid w:val="004950B0"/>
    <w:rsid w:val="004A0A9C"/>
    <w:rsid w:val="004D3599"/>
    <w:rsid w:val="004D3834"/>
    <w:rsid w:val="00537A6C"/>
    <w:rsid w:val="00542A27"/>
    <w:rsid w:val="005655A0"/>
    <w:rsid w:val="005C0E7C"/>
    <w:rsid w:val="005C1D37"/>
    <w:rsid w:val="005F3D4B"/>
    <w:rsid w:val="00611E8F"/>
    <w:rsid w:val="00626B91"/>
    <w:rsid w:val="00650746"/>
    <w:rsid w:val="00652971"/>
    <w:rsid w:val="00693401"/>
    <w:rsid w:val="00696739"/>
    <w:rsid w:val="00696DF3"/>
    <w:rsid w:val="006A06A6"/>
    <w:rsid w:val="006A29A8"/>
    <w:rsid w:val="006B3755"/>
    <w:rsid w:val="006D1C1B"/>
    <w:rsid w:val="006D2A7B"/>
    <w:rsid w:val="006F41DC"/>
    <w:rsid w:val="00722190"/>
    <w:rsid w:val="00771D34"/>
    <w:rsid w:val="007747A8"/>
    <w:rsid w:val="007A2E52"/>
    <w:rsid w:val="007B10A2"/>
    <w:rsid w:val="007C61AE"/>
    <w:rsid w:val="007C7E7B"/>
    <w:rsid w:val="007D5180"/>
    <w:rsid w:val="007D615F"/>
    <w:rsid w:val="007F16C6"/>
    <w:rsid w:val="00801A7D"/>
    <w:rsid w:val="008210F2"/>
    <w:rsid w:val="008249E0"/>
    <w:rsid w:val="00836BC3"/>
    <w:rsid w:val="008419EA"/>
    <w:rsid w:val="008A041A"/>
    <w:rsid w:val="008B0AE6"/>
    <w:rsid w:val="008F5A64"/>
    <w:rsid w:val="00900B27"/>
    <w:rsid w:val="00906A57"/>
    <w:rsid w:val="00925143"/>
    <w:rsid w:val="00933827"/>
    <w:rsid w:val="009364BC"/>
    <w:rsid w:val="0095075C"/>
    <w:rsid w:val="00954579"/>
    <w:rsid w:val="00956EB3"/>
    <w:rsid w:val="009622DF"/>
    <w:rsid w:val="009A52EC"/>
    <w:rsid w:val="009B71A6"/>
    <w:rsid w:val="00A0380D"/>
    <w:rsid w:val="00A55D7C"/>
    <w:rsid w:val="00A67B54"/>
    <w:rsid w:val="00A875BE"/>
    <w:rsid w:val="00AA0773"/>
    <w:rsid w:val="00AD0A44"/>
    <w:rsid w:val="00AE26FC"/>
    <w:rsid w:val="00AE4A9B"/>
    <w:rsid w:val="00AF167E"/>
    <w:rsid w:val="00B027B7"/>
    <w:rsid w:val="00B34CBC"/>
    <w:rsid w:val="00B534F6"/>
    <w:rsid w:val="00B83904"/>
    <w:rsid w:val="00B9289A"/>
    <w:rsid w:val="00B9434A"/>
    <w:rsid w:val="00BA7759"/>
    <w:rsid w:val="00BB6C1A"/>
    <w:rsid w:val="00BF3BFE"/>
    <w:rsid w:val="00C476AB"/>
    <w:rsid w:val="00C719F6"/>
    <w:rsid w:val="00C80E22"/>
    <w:rsid w:val="00CA2150"/>
    <w:rsid w:val="00CB6C86"/>
    <w:rsid w:val="00CD3688"/>
    <w:rsid w:val="00CD4739"/>
    <w:rsid w:val="00CE4F40"/>
    <w:rsid w:val="00D025E4"/>
    <w:rsid w:val="00D17AF9"/>
    <w:rsid w:val="00D42CDB"/>
    <w:rsid w:val="00D7175F"/>
    <w:rsid w:val="00D808A2"/>
    <w:rsid w:val="00DA28AA"/>
    <w:rsid w:val="00DD0A6A"/>
    <w:rsid w:val="00DD1668"/>
    <w:rsid w:val="00DD4732"/>
    <w:rsid w:val="00DF7B7A"/>
    <w:rsid w:val="00E22F0E"/>
    <w:rsid w:val="00E61E06"/>
    <w:rsid w:val="00E918D0"/>
    <w:rsid w:val="00EA725A"/>
    <w:rsid w:val="00EC6427"/>
    <w:rsid w:val="00EC6F4D"/>
    <w:rsid w:val="00ED310F"/>
    <w:rsid w:val="00EF0631"/>
    <w:rsid w:val="00EF230E"/>
    <w:rsid w:val="00F27593"/>
    <w:rsid w:val="00F349C3"/>
    <w:rsid w:val="00F4350A"/>
    <w:rsid w:val="00F60844"/>
    <w:rsid w:val="00F63112"/>
    <w:rsid w:val="00F75EED"/>
    <w:rsid w:val="00FC59F0"/>
    <w:rsid w:val="00FF2B23"/>
    <w:rsid w:val="00FF67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A45F6"/>
  <w15:docId w15:val="{BBC58EC1-075B-4AFB-A53F-82E6B9CE9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56F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56F3"/>
  </w:style>
  <w:style w:type="paragraph" w:styleId="Piedepgina">
    <w:name w:val="footer"/>
    <w:basedOn w:val="Normal"/>
    <w:link w:val="PiedepginaCar"/>
    <w:uiPriority w:val="99"/>
    <w:unhideWhenUsed/>
    <w:rsid w:val="003756F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56F3"/>
  </w:style>
  <w:style w:type="paragraph" w:styleId="Textodeglobo">
    <w:name w:val="Balloon Text"/>
    <w:basedOn w:val="Normal"/>
    <w:link w:val="TextodegloboCar"/>
    <w:uiPriority w:val="99"/>
    <w:semiHidden/>
    <w:unhideWhenUsed/>
    <w:rsid w:val="003756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56F3"/>
    <w:rPr>
      <w:rFonts w:ascii="Tahoma" w:hAnsi="Tahoma" w:cs="Tahoma"/>
      <w:sz w:val="16"/>
      <w:szCs w:val="16"/>
    </w:rPr>
  </w:style>
  <w:style w:type="paragraph" w:styleId="Prrafodelista">
    <w:name w:val="List Paragraph"/>
    <w:basedOn w:val="Normal"/>
    <w:uiPriority w:val="34"/>
    <w:qFormat/>
    <w:rsid w:val="003756F3"/>
    <w:pPr>
      <w:ind w:left="720"/>
      <w:contextualSpacing/>
    </w:pPr>
  </w:style>
  <w:style w:type="character" w:styleId="Textoennegrita">
    <w:name w:val="Strong"/>
    <w:basedOn w:val="Fuentedeprrafopredeter"/>
    <w:uiPriority w:val="22"/>
    <w:qFormat/>
    <w:rsid w:val="00DD0A6A"/>
    <w:rPr>
      <w:b/>
      <w:bCs/>
    </w:rPr>
  </w:style>
  <w:style w:type="character" w:styleId="Refdecomentario">
    <w:name w:val="annotation reference"/>
    <w:basedOn w:val="Fuentedeprrafopredeter"/>
    <w:uiPriority w:val="99"/>
    <w:semiHidden/>
    <w:unhideWhenUsed/>
    <w:rsid w:val="005C1D37"/>
    <w:rPr>
      <w:sz w:val="16"/>
      <w:szCs w:val="16"/>
    </w:rPr>
  </w:style>
  <w:style w:type="paragraph" w:styleId="Textocomentario">
    <w:name w:val="annotation text"/>
    <w:basedOn w:val="Normal"/>
    <w:link w:val="TextocomentarioCar"/>
    <w:uiPriority w:val="99"/>
    <w:unhideWhenUsed/>
    <w:rsid w:val="005C1D37"/>
    <w:pPr>
      <w:spacing w:line="240" w:lineRule="auto"/>
    </w:pPr>
    <w:rPr>
      <w:sz w:val="20"/>
      <w:szCs w:val="20"/>
    </w:rPr>
  </w:style>
  <w:style w:type="character" w:customStyle="1" w:styleId="TextocomentarioCar">
    <w:name w:val="Texto comentario Car"/>
    <w:basedOn w:val="Fuentedeprrafopredeter"/>
    <w:link w:val="Textocomentario"/>
    <w:uiPriority w:val="99"/>
    <w:rsid w:val="005C1D37"/>
    <w:rPr>
      <w:sz w:val="20"/>
      <w:szCs w:val="20"/>
    </w:rPr>
  </w:style>
  <w:style w:type="paragraph" w:styleId="Asuntodelcomentario">
    <w:name w:val="annotation subject"/>
    <w:basedOn w:val="Textocomentario"/>
    <w:next w:val="Textocomentario"/>
    <w:link w:val="AsuntodelcomentarioCar"/>
    <w:uiPriority w:val="99"/>
    <w:semiHidden/>
    <w:unhideWhenUsed/>
    <w:rsid w:val="005C1D37"/>
    <w:rPr>
      <w:b/>
      <w:bCs/>
    </w:rPr>
  </w:style>
  <w:style w:type="character" w:customStyle="1" w:styleId="AsuntodelcomentarioCar">
    <w:name w:val="Asunto del comentario Car"/>
    <w:basedOn w:val="TextocomentarioCar"/>
    <w:link w:val="Asuntodelcomentario"/>
    <w:uiPriority w:val="99"/>
    <w:semiHidden/>
    <w:rsid w:val="005C1D37"/>
    <w:rPr>
      <w:b/>
      <w:bCs/>
      <w:sz w:val="20"/>
      <w:szCs w:val="20"/>
    </w:rPr>
  </w:style>
  <w:style w:type="character" w:styleId="Hipervnculo">
    <w:name w:val="Hyperlink"/>
    <w:basedOn w:val="Fuentedeprrafopredeter"/>
    <w:uiPriority w:val="99"/>
    <w:unhideWhenUsed/>
    <w:rsid w:val="00250002"/>
    <w:rPr>
      <w:color w:val="0000FF" w:themeColor="hyperlink"/>
      <w:u w:val="single"/>
    </w:rPr>
  </w:style>
  <w:style w:type="character" w:customStyle="1" w:styleId="Mencinsinresolver1">
    <w:name w:val="Mención sin resolver1"/>
    <w:basedOn w:val="Fuentedeprrafopredeter"/>
    <w:uiPriority w:val="99"/>
    <w:semiHidden/>
    <w:unhideWhenUsed/>
    <w:rsid w:val="00250002"/>
    <w:rPr>
      <w:color w:val="605E5C"/>
      <w:shd w:val="clear" w:color="auto" w:fill="E1DFDD"/>
    </w:rPr>
  </w:style>
  <w:style w:type="paragraph" w:styleId="Revisin">
    <w:name w:val="Revision"/>
    <w:hidden/>
    <w:uiPriority w:val="99"/>
    <w:semiHidden/>
    <w:rsid w:val="00FF67F5"/>
    <w:pPr>
      <w:spacing w:after="0" w:line="240" w:lineRule="auto"/>
    </w:pPr>
  </w:style>
  <w:style w:type="paragraph" w:styleId="NormalWeb">
    <w:name w:val="Normal (Web)"/>
    <w:basedOn w:val="Normal"/>
    <w:uiPriority w:val="99"/>
    <w:semiHidden/>
    <w:unhideWhenUsed/>
    <w:rsid w:val="006A29A8"/>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49312">
      <w:bodyDiv w:val="1"/>
      <w:marLeft w:val="0"/>
      <w:marRight w:val="0"/>
      <w:marTop w:val="0"/>
      <w:marBottom w:val="0"/>
      <w:divBdr>
        <w:top w:val="none" w:sz="0" w:space="0" w:color="auto"/>
        <w:left w:val="none" w:sz="0" w:space="0" w:color="auto"/>
        <w:bottom w:val="none" w:sz="0" w:space="0" w:color="auto"/>
        <w:right w:val="none" w:sz="0" w:space="0" w:color="auto"/>
      </w:divBdr>
    </w:div>
    <w:div w:id="152141053">
      <w:bodyDiv w:val="1"/>
      <w:marLeft w:val="0"/>
      <w:marRight w:val="0"/>
      <w:marTop w:val="0"/>
      <w:marBottom w:val="0"/>
      <w:divBdr>
        <w:top w:val="none" w:sz="0" w:space="0" w:color="auto"/>
        <w:left w:val="none" w:sz="0" w:space="0" w:color="auto"/>
        <w:bottom w:val="none" w:sz="0" w:space="0" w:color="auto"/>
        <w:right w:val="none" w:sz="0" w:space="0" w:color="auto"/>
      </w:divBdr>
    </w:div>
    <w:div w:id="904342604">
      <w:bodyDiv w:val="1"/>
      <w:marLeft w:val="0"/>
      <w:marRight w:val="0"/>
      <w:marTop w:val="0"/>
      <w:marBottom w:val="0"/>
      <w:divBdr>
        <w:top w:val="none" w:sz="0" w:space="0" w:color="auto"/>
        <w:left w:val="none" w:sz="0" w:space="0" w:color="auto"/>
        <w:bottom w:val="none" w:sz="0" w:space="0" w:color="auto"/>
        <w:right w:val="none" w:sz="0" w:space="0" w:color="auto"/>
      </w:divBdr>
    </w:div>
    <w:div w:id="1031343651">
      <w:bodyDiv w:val="1"/>
      <w:marLeft w:val="0"/>
      <w:marRight w:val="0"/>
      <w:marTop w:val="0"/>
      <w:marBottom w:val="0"/>
      <w:divBdr>
        <w:top w:val="none" w:sz="0" w:space="0" w:color="auto"/>
        <w:left w:val="none" w:sz="0" w:space="0" w:color="auto"/>
        <w:bottom w:val="none" w:sz="0" w:space="0" w:color="auto"/>
        <w:right w:val="none" w:sz="0" w:space="0" w:color="auto"/>
      </w:divBdr>
    </w:div>
    <w:div w:id="105272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10.1111/joim.1338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iberes.org/sala-de-prensa/ciberesucicovi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EF29C-C890-465B-83FF-C3DD3BFF7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1144</Words>
  <Characters>6294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Navarro, Begoña [Ciberisciii]</cp:lastModifiedBy>
  <cp:revision>2</cp:revision>
  <cp:lastPrinted>2021-10-06T07:29:00Z</cp:lastPrinted>
  <dcterms:created xsi:type="dcterms:W3CDTF">2021-12-15T06:51:00Z</dcterms:created>
  <dcterms:modified xsi:type="dcterms:W3CDTF">2021-12-15T06:51:00Z</dcterms:modified>
</cp:coreProperties>
</file>