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B6D9D" w14:textId="77777777" w:rsidR="00980523" w:rsidRDefault="00980523"/>
    <w:p w14:paraId="5078D469" w14:textId="77777777" w:rsidR="00B564E4" w:rsidRDefault="00891EA2" w:rsidP="00B564E4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Establecidos tres fenotipos de pacientes con </w:t>
      </w:r>
      <w:r w:rsidR="007A5CED">
        <w:rPr>
          <w:rFonts w:ascii="Cambria" w:hAnsi="Cambria"/>
          <w:b/>
          <w:bCs/>
          <w:sz w:val="32"/>
          <w:szCs w:val="32"/>
        </w:rPr>
        <w:t xml:space="preserve">bronquiectasia </w:t>
      </w:r>
      <w:r w:rsidR="00AB4455">
        <w:rPr>
          <w:rFonts w:ascii="Cambria" w:hAnsi="Cambria"/>
          <w:b/>
          <w:bCs/>
          <w:sz w:val="32"/>
          <w:szCs w:val="32"/>
        </w:rPr>
        <w:t>según</w:t>
      </w:r>
      <w:r>
        <w:rPr>
          <w:rFonts w:ascii="Cambria" w:hAnsi="Cambria"/>
          <w:b/>
          <w:bCs/>
          <w:sz w:val="32"/>
          <w:szCs w:val="32"/>
        </w:rPr>
        <w:t xml:space="preserve"> la gravedad de la enfermedad </w:t>
      </w:r>
    </w:p>
    <w:p w14:paraId="467998B6" w14:textId="77777777" w:rsidR="00891EA2" w:rsidRDefault="00891EA2" w:rsidP="00891EA2">
      <w:pPr>
        <w:rPr>
          <w:rFonts w:ascii="Cambria" w:hAnsi="Cambria"/>
          <w:b/>
          <w:bCs/>
          <w:sz w:val="32"/>
          <w:szCs w:val="32"/>
        </w:rPr>
      </w:pPr>
    </w:p>
    <w:p w14:paraId="41E44C6B" w14:textId="77777777" w:rsidR="00891EA2" w:rsidRPr="00AB4455" w:rsidRDefault="00AB4455" w:rsidP="001D0F8A">
      <w:pPr>
        <w:pStyle w:val="Prrafodelista"/>
        <w:numPr>
          <w:ilvl w:val="0"/>
          <w:numId w:val="1"/>
        </w:numPr>
        <w:jc w:val="both"/>
      </w:pPr>
      <w:r w:rsidRPr="00AB4455">
        <w:rPr>
          <w:rFonts w:ascii="Cambria" w:hAnsi="Cambria"/>
          <w:b/>
          <w:bCs/>
          <w:sz w:val="24"/>
          <w:szCs w:val="24"/>
        </w:rPr>
        <w:t>Inves</w:t>
      </w:r>
      <w:r w:rsidR="00597D67">
        <w:rPr>
          <w:rFonts w:ascii="Cambria" w:hAnsi="Cambria"/>
          <w:b/>
          <w:bCs/>
          <w:sz w:val="24"/>
          <w:szCs w:val="24"/>
        </w:rPr>
        <w:t xml:space="preserve">tigadores del CIBERES y el Instituto </w:t>
      </w:r>
      <w:r w:rsidRPr="00AB4455">
        <w:rPr>
          <w:rFonts w:ascii="Cambria" w:hAnsi="Cambria"/>
          <w:b/>
          <w:bCs/>
          <w:sz w:val="24"/>
          <w:szCs w:val="24"/>
        </w:rPr>
        <w:t xml:space="preserve">Hospital del Mar </w:t>
      </w:r>
      <w:r w:rsidR="00597D67">
        <w:rPr>
          <w:rFonts w:ascii="Cambria" w:hAnsi="Cambria"/>
          <w:b/>
          <w:bCs/>
          <w:sz w:val="24"/>
          <w:szCs w:val="24"/>
        </w:rPr>
        <w:t xml:space="preserve">de Investigaciones Médicas </w:t>
      </w:r>
      <w:r w:rsidRPr="00AB4455">
        <w:rPr>
          <w:rFonts w:ascii="Cambria" w:hAnsi="Cambria"/>
          <w:b/>
          <w:bCs/>
          <w:sz w:val="24"/>
          <w:szCs w:val="24"/>
        </w:rPr>
        <w:t>analizan</w:t>
      </w:r>
      <w:r>
        <w:rPr>
          <w:rFonts w:ascii="Cambria" w:hAnsi="Cambria"/>
          <w:b/>
          <w:bCs/>
          <w:sz w:val="24"/>
          <w:szCs w:val="24"/>
        </w:rPr>
        <w:t xml:space="preserve"> biomarcadores de una gran cohorte de pacientes gracias a la bioinformática</w:t>
      </w:r>
    </w:p>
    <w:p w14:paraId="6E547797" w14:textId="77777777" w:rsidR="00AB4455" w:rsidRPr="00AB4455" w:rsidRDefault="00AB4455" w:rsidP="00AB4455">
      <w:pPr>
        <w:pStyle w:val="Prrafodelista"/>
        <w:jc w:val="both"/>
      </w:pPr>
    </w:p>
    <w:p w14:paraId="397CCA13" w14:textId="77777777" w:rsidR="00AB4455" w:rsidRPr="00AB4455" w:rsidRDefault="003A073D" w:rsidP="001D0F8A">
      <w:pPr>
        <w:pStyle w:val="Prrafodelista"/>
        <w:numPr>
          <w:ilvl w:val="0"/>
          <w:numId w:val="1"/>
        </w:numPr>
        <w:jc w:val="both"/>
      </w:pPr>
      <w:r>
        <w:rPr>
          <w:rFonts w:ascii="Cambria" w:hAnsi="Cambria"/>
          <w:b/>
          <w:bCs/>
          <w:sz w:val="24"/>
          <w:szCs w:val="24"/>
        </w:rPr>
        <w:t xml:space="preserve">Los clasificados en el </w:t>
      </w:r>
      <w:r w:rsidR="00AB4455">
        <w:rPr>
          <w:rFonts w:ascii="Cambria" w:hAnsi="Cambria"/>
          <w:b/>
          <w:bCs/>
          <w:sz w:val="24"/>
          <w:szCs w:val="24"/>
        </w:rPr>
        <w:t xml:space="preserve">grupo 3 contaban con altos marcadores inflamatorios, mayor riesgo de hospitalización </w:t>
      </w:r>
      <w:r>
        <w:rPr>
          <w:rFonts w:ascii="Cambria" w:hAnsi="Cambria"/>
          <w:b/>
          <w:bCs/>
          <w:sz w:val="24"/>
          <w:szCs w:val="24"/>
        </w:rPr>
        <w:t xml:space="preserve">e índice </w:t>
      </w:r>
      <w:r w:rsidR="00AB4455">
        <w:rPr>
          <w:rFonts w:ascii="Cambria" w:hAnsi="Cambria"/>
          <w:b/>
          <w:bCs/>
          <w:sz w:val="24"/>
          <w:szCs w:val="24"/>
        </w:rPr>
        <w:t xml:space="preserve">de comorbilidad </w:t>
      </w:r>
    </w:p>
    <w:p w14:paraId="03611C3D" w14:textId="77777777" w:rsidR="00AB4455" w:rsidRDefault="00AB4455" w:rsidP="00AB4455">
      <w:pPr>
        <w:pStyle w:val="Prrafodelista"/>
      </w:pPr>
    </w:p>
    <w:p w14:paraId="3F8501C3" w14:textId="77777777" w:rsidR="00AB4455" w:rsidRPr="00AB4455" w:rsidRDefault="00AB4455" w:rsidP="00AB4455">
      <w:pPr>
        <w:pStyle w:val="Prrafodelista"/>
        <w:numPr>
          <w:ilvl w:val="0"/>
          <w:numId w:val="1"/>
        </w:numPr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“E</w:t>
      </w:r>
      <w:r w:rsidRPr="00AB4455">
        <w:rPr>
          <w:rFonts w:ascii="Cambria" w:hAnsi="Cambria"/>
          <w:b/>
          <w:bCs/>
          <w:sz w:val="24"/>
          <w:szCs w:val="24"/>
        </w:rPr>
        <w:t>stas herramientas de análisis y clasificación deberían ser utilizadas en la práctica clínica para clasificar a los pacientes según la gravedad y así poder avanzar en las estrategias terapéuticas específicas”</w:t>
      </w:r>
      <w:r>
        <w:rPr>
          <w:rFonts w:ascii="Cambria" w:hAnsi="Cambria"/>
          <w:b/>
          <w:bCs/>
          <w:sz w:val="24"/>
          <w:szCs w:val="24"/>
        </w:rPr>
        <w:t xml:space="preserve">, afirma Esther Barreiro, coordinadora del trabajo publicado en ‘Biomedicines’ </w:t>
      </w:r>
    </w:p>
    <w:p w14:paraId="6CA1791E" w14:textId="77777777" w:rsidR="00AB4455" w:rsidRPr="00AB4455" w:rsidRDefault="00AB4455" w:rsidP="00AB4455">
      <w:pPr>
        <w:pStyle w:val="Prrafodelista"/>
        <w:jc w:val="both"/>
        <w:rPr>
          <w:rFonts w:ascii="Cambria" w:hAnsi="Cambria"/>
          <w:b/>
          <w:bCs/>
          <w:sz w:val="24"/>
          <w:szCs w:val="24"/>
        </w:rPr>
      </w:pPr>
    </w:p>
    <w:p w14:paraId="09B06797" w14:textId="784C1355" w:rsidR="00F24367" w:rsidRDefault="00891EA2" w:rsidP="00F24367">
      <w:pPr>
        <w:jc w:val="both"/>
        <w:rPr>
          <w:rFonts w:ascii="Cambria" w:hAnsi="Cambria"/>
          <w:kern w:val="2"/>
          <w:sz w:val="24"/>
          <w:szCs w:val="24"/>
        </w:rPr>
      </w:pPr>
      <w:r w:rsidRPr="00F24367">
        <w:rPr>
          <w:rFonts w:ascii="Cambria" w:hAnsi="Cambria"/>
          <w:b/>
          <w:kern w:val="2"/>
          <w:sz w:val="24"/>
          <w:szCs w:val="24"/>
        </w:rPr>
        <w:t xml:space="preserve">Madrid, </w:t>
      </w:r>
      <w:r w:rsidR="00144D2B">
        <w:rPr>
          <w:rFonts w:ascii="Cambria" w:hAnsi="Cambria"/>
          <w:b/>
          <w:kern w:val="2"/>
          <w:sz w:val="24"/>
          <w:szCs w:val="24"/>
        </w:rPr>
        <w:t>9</w:t>
      </w:r>
      <w:r w:rsidRPr="00F24367">
        <w:rPr>
          <w:rFonts w:ascii="Cambria" w:hAnsi="Cambria"/>
          <w:b/>
          <w:kern w:val="2"/>
          <w:sz w:val="24"/>
          <w:szCs w:val="24"/>
        </w:rPr>
        <w:t xml:space="preserve"> de marzo de 2022.- </w:t>
      </w:r>
      <w:r w:rsidR="00F24367" w:rsidRPr="00F24367">
        <w:rPr>
          <w:rFonts w:ascii="Cambria" w:hAnsi="Cambria"/>
          <w:kern w:val="2"/>
          <w:sz w:val="24"/>
          <w:szCs w:val="24"/>
        </w:rPr>
        <w:t xml:space="preserve">La bronquiectasia es una enfermedad respiratoria crónica </w:t>
      </w:r>
      <w:r w:rsidR="00F24367">
        <w:rPr>
          <w:rFonts w:ascii="Cambria" w:hAnsi="Cambria"/>
          <w:kern w:val="2"/>
          <w:sz w:val="24"/>
          <w:szCs w:val="24"/>
        </w:rPr>
        <w:t xml:space="preserve">y compleja </w:t>
      </w:r>
      <w:r w:rsidR="00F24367" w:rsidRPr="00F24367">
        <w:rPr>
          <w:rFonts w:ascii="Cambria" w:hAnsi="Cambria"/>
          <w:kern w:val="2"/>
          <w:sz w:val="24"/>
          <w:szCs w:val="24"/>
        </w:rPr>
        <w:t>caracterizada por una dilatación permanente de las vías respiratorias, en la que los pacientes experimentan agudizaciones recurrentes principalmente por infección bronquial.</w:t>
      </w:r>
      <w:r w:rsidR="00F24367">
        <w:rPr>
          <w:rFonts w:ascii="Cambria" w:hAnsi="Cambria"/>
          <w:kern w:val="2"/>
          <w:sz w:val="24"/>
          <w:szCs w:val="24"/>
        </w:rPr>
        <w:t xml:space="preserve"> Debido a su alto impacto en la calidad de vida de las personas que la sufren, un estudio de investigadores del CIBER de Enfermedades Respiratorias (CIBERES) y del Instituto Hospital del Mar de Investigaciones Médicas</w:t>
      </w:r>
      <w:r w:rsidR="00597D67">
        <w:rPr>
          <w:rFonts w:ascii="Cambria" w:hAnsi="Cambria"/>
          <w:kern w:val="2"/>
          <w:sz w:val="24"/>
          <w:szCs w:val="24"/>
        </w:rPr>
        <w:t xml:space="preserve"> (IMIM-Hospital del Mar)</w:t>
      </w:r>
      <w:r w:rsidR="00F24367">
        <w:rPr>
          <w:rFonts w:ascii="Cambria" w:hAnsi="Cambria"/>
          <w:kern w:val="2"/>
          <w:sz w:val="24"/>
          <w:szCs w:val="24"/>
        </w:rPr>
        <w:t xml:space="preserve">, ha determinado tres grupos de pacientes con perfiles clínicos claramente diferenciados que permitan facilitar el manejo de esta dolencia. </w:t>
      </w:r>
    </w:p>
    <w:p w14:paraId="4F82D0B7" w14:textId="77777777" w:rsidR="00AE4067" w:rsidRDefault="00F24367" w:rsidP="00F24367">
      <w:pPr>
        <w:jc w:val="both"/>
        <w:rPr>
          <w:rFonts w:ascii="Cambria" w:hAnsi="Cambria"/>
          <w:kern w:val="2"/>
          <w:sz w:val="24"/>
          <w:szCs w:val="24"/>
        </w:rPr>
      </w:pPr>
      <w:r>
        <w:rPr>
          <w:rFonts w:ascii="Cambria" w:hAnsi="Cambria"/>
          <w:kern w:val="2"/>
          <w:sz w:val="24"/>
          <w:szCs w:val="24"/>
        </w:rPr>
        <w:t>El estudio publicado en</w:t>
      </w:r>
      <w:r w:rsidRPr="00E17B7E">
        <w:rPr>
          <w:rFonts w:ascii="Cambria" w:hAnsi="Cambria"/>
          <w:i/>
          <w:kern w:val="2"/>
          <w:sz w:val="24"/>
          <w:szCs w:val="24"/>
        </w:rPr>
        <w:t xml:space="preserve"> Biomedicines </w:t>
      </w:r>
      <w:r>
        <w:rPr>
          <w:rFonts w:ascii="Cambria" w:hAnsi="Cambria"/>
          <w:kern w:val="2"/>
          <w:sz w:val="24"/>
          <w:szCs w:val="24"/>
        </w:rPr>
        <w:t xml:space="preserve">y dirigido por la </w:t>
      </w:r>
      <w:r w:rsidR="00AE4067">
        <w:rPr>
          <w:rFonts w:ascii="Cambria" w:hAnsi="Cambria"/>
          <w:kern w:val="2"/>
          <w:sz w:val="24"/>
          <w:szCs w:val="24"/>
        </w:rPr>
        <w:t>investigadora del CIBERES, médica adjunta del Servicio de Neumología e investigadora del IMIM-Hospital del Mar, Esther Barreiro</w:t>
      </w:r>
      <w:r>
        <w:rPr>
          <w:rFonts w:ascii="Cambria" w:hAnsi="Cambria"/>
          <w:kern w:val="2"/>
          <w:sz w:val="24"/>
          <w:szCs w:val="24"/>
        </w:rPr>
        <w:t>, ha</w:t>
      </w:r>
      <w:r w:rsidR="00A7657E">
        <w:rPr>
          <w:rFonts w:ascii="Cambria" w:hAnsi="Cambria"/>
          <w:kern w:val="2"/>
          <w:sz w:val="24"/>
          <w:szCs w:val="24"/>
        </w:rPr>
        <w:t xml:space="preserve"> establecido una gran</w:t>
      </w:r>
      <w:r>
        <w:rPr>
          <w:rFonts w:ascii="Cambria" w:hAnsi="Cambria"/>
          <w:kern w:val="2"/>
          <w:sz w:val="24"/>
          <w:szCs w:val="24"/>
        </w:rPr>
        <w:t xml:space="preserve"> cohorte de pacientes con bronquiectasia (1.092 personas)</w:t>
      </w:r>
      <w:r w:rsidR="00E17B7E">
        <w:rPr>
          <w:rFonts w:ascii="Cambria" w:hAnsi="Cambria"/>
          <w:kern w:val="2"/>
          <w:sz w:val="24"/>
          <w:szCs w:val="24"/>
        </w:rPr>
        <w:t xml:space="preserve"> del registro español RIBRON,</w:t>
      </w:r>
      <w:r>
        <w:rPr>
          <w:rFonts w:ascii="Cambria" w:hAnsi="Cambria"/>
          <w:kern w:val="2"/>
          <w:sz w:val="24"/>
          <w:szCs w:val="24"/>
        </w:rPr>
        <w:t xml:space="preserve"> </w:t>
      </w:r>
      <w:r w:rsidR="00A7657E">
        <w:rPr>
          <w:rFonts w:ascii="Cambria" w:hAnsi="Cambria"/>
          <w:kern w:val="2"/>
          <w:sz w:val="24"/>
          <w:szCs w:val="24"/>
        </w:rPr>
        <w:t xml:space="preserve">que ha permitido identificar tres fenotipos de pacientes con características clínicas y de gravedad de sus bronquiectasias. </w:t>
      </w:r>
    </w:p>
    <w:p w14:paraId="688DD38C" w14:textId="77777777" w:rsidR="00A7657E" w:rsidRDefault="00A7657E" w:rsidP="00F24367">
      <w:pPr>
        <w:jc w:val="both"/>
        <w:rPr>
          <w:rFonts w:ascii="Cambria" w:hAnsi="Cambria"/>
          <w:kern w:val="2"/>
          <w:sz w:val="24"/>
          <w:szCs w:val="24"/>
        </w:rPr>
      </w:pPr>
      <w:r>
        <w:rPr>
          <w:rFonts w:ascii="Cambria" w:hAnsi="Cambria"/>
          <w:kern w:val="2"/>
          <w:sz w:val="24"/>
          <w:szCs w:val="24"/>
        </w:rPr>
        <w:t xml:space="preserve">Mediante la utilización de instrumentos de bioinformática y análisis estadísticos, se analizaron una serie de parámetros en las muestras de sangre de los pacientes con el objetivo de clasificarlos en diferentes grupos con perfiles clínicos claramente diferenciados. </w:t>
      </w:r>
    </w:p>
    <w:p w14:paraId="23F97E3F" w14:textId="77777777" w:rsidR="00A7657E" w:rsidRDefault="00A7657E" w:rsidP="00F24367">
      <w:pPr>
        <w:jc w:val="both"/>
        <w:rPr>
          <w:rFonts w:ascii="Cambria" w:hAnsi="Cambria"/>
          <w:kern w:val="2"/>
          <w:sz w:val="24"/>
          <w:szCs w:val="24"/>
        </w:rPr>
      </w:pPr>
      <w:r>
        <w:rPr>
          <w:rFonts w:ascii="Cambria" w:hAnsi="Cambria"/>
          <w:kern w:val="2"/>
          <w:sz w:val="24"/>
          <w:szCs w:val="24"/>
        </w:rPr>
        <w:t xml:space="preserve">Según explica Esther Barreiro, </w:t>
      </w:r>
      <w:r w:rsidRPr="00A7657E">
        <w:rPr>
          <w:rFonts w:ascii="Cambria" w:hAnsi="Cambria"/>
          <w:i/>
          <w:kern w:val="2"/>
          <w:sz w:val="24"/>
          <w:szCs w:val="24"/>
        </w:rPr>
        <w:t xml:space="preserve">“de todos los biomarcadores analizados, el recuento de neutrófilos, eosinófilos y linfocitos, junto con los niveles de proteína C reactiva y los de hemoglobina permitieron establecer tres grupos –clusters- de pacientes, que </w:t>
      </w:r>
      <w:r w:rsidRPr="00A7657E">
        <w:rPr>
          <w:rFonts w:ascii="Cambria" w:hAnsi="Cambria"/>
          <w:i/>
          <w:kern w:val="2"/>
          <w:sz w:val="24"/>
          <w:szCs w:val="24"/>
        </w:rPr>
        <w:lastRenderedPageBreak/>
        <w:t>clasificamos como leve, moderado y grave según los scores de gravedad para bronquiectasias”</w:t>
      </w:r>
      <w:r>
        <w:rPr>
          <w:rFonts w:ascii="Cambria" w:hAnsi="Cambria"/>
          <w:kern w:val="2"/>
          <w:sz w:val="24"/>
          <w:szCs w:val="24"/>
        </w:rPr>
        <w:t>.</w:t>
      </w:r>
    </w:p>
    <w:p w14:paraId="356D0F4E" w14:textId="77777777" w:rsidR="00A7657E" w:rsidRDefault="00E17B7E" w:rsidP="00F24367">
      <w:pPr>
        <w:jc w:val="both"/>
        <w:rPr>
          <w:rFonts w:ascii="Cambria" w:hAnsi="Cambria"/>
          <w:kern w:val="2"/>
          <w:sz w:val="24"/>
          <w:szCs w:val="24"/>
        </w:rPr>
      </w:pPr>
      <w:r>
        <w:rPr>
          <w:rFonts w:ascii="Cambria" w:hAnsi="Cambria"/>
          <w:kern w:val="2"/>
          <w:sz w:val="24"/>
          <w:szCs w:val="24"/>
        </w:rPr>
        <w:t xml:space="preserve">Los investigadores determinaron que </w:t>
      </w:r>
      <w:r w:rsidR="00EC3FF2">
        <w:rPr>
          <w:rFonts w:ascii="Cambria" w:hAnsi="Cambria"/>
          <w:kern w:val="2"/>
          <w:sz w:val="24"/>
          <w:szCs w:val="24"/>
        </w:rPr>
        <w:t xml:space="preserve">los pacientes del grupo 3 resultaron ser los más graves al puntuar más elevado en la mayoría de los parámetros, los marcadores inflamatorios, el número de hospitalizaciones y el índice de comorbilidad. </w:t>
      </w:r>
    </w:p>
    <w:p w14:paraId="33F0E3B3" w14:textId="77777777" w:rsidR="003A073D" w:rsidRPr="003A073D" w:rsidRDefault="003A073D" w:rsidP="00F24367">
      <w:pPr>
        <w:jc w:val="both"/>
        <w:rPr>
          <w:rFonts w:ascii="Cambria" w:hAnsi="Cambria"/>
          <w:b/>
          <w:kern w:val="2"/>
          <w:sz w:val="24"/>
          <w:szCs w:val="24"/>
        </w:rPr>
      </w:pPr>
      <w:r w:rsidRPr="003A073D">
        <w:rPr>
          <w:rFonts w:ascii="Cambria" w:hAnsi="Cambria"/>
          <w:b/>
          <w:kern w:val="2"/>
          <w:sz w:val="24"/>
          <w:szCs w:val="24"/>
        </w:rPr>
        <w:t xml:space="preserve">Mayor colonización por bacteria y presencia de EPOC </w:t>
      </w:r>
    </w:p>
    <w:p w14:paraId="3B5C24FE" w14:textId="77777777" w:rsidR="0011574A" w:rsidRDefault="0011574A" w:rsidP="00F24367">
      <w:pPr>
        <w:jc w:val="both"/>
        <w:rPr>
          <w:rFonts w:ascii="Cambria" w:hAnsi="Cambria"/>
          <w:kern w:val="2"/>
          <w:sz w:val="24"/>
          <w:szCs w:val="24"/>
        </w:rPr>
      </w:pPr>
      <w:r>
        <w:rPr>
          <w:rFonts w:ascii="Cambria" w:hAnsi="Cambria"/>
          <w:kern w:val="2"/>
          <w:sz w:val="24"/>
          <w:szCs w:val="24"/>
        </w:rPr>
        <w:t xml:space="preserve">Asimismo, la colonización por una bacteria común que infecta las vías aéreas de los pacientes con bronquiectasias (la pseudomonas aeruginosa) y la prevalencia de otra enfermedad respiratoria como la EPOC también fue mayor en los pacientes del grupo 3 respecto a los de 1y 2. </w:t>
      </w:r>
    </w:p>
    <w:p w14:paraId="5903EB61" w14:textId="77777777" w:rsidR="0011574A" w:rsidRDefault="0011574A" w:rsidP="00F24367">
      <w:pPr>
        <w:jc w:val="both"/>
        <w:rPr>
          <w:rFonts w:ascii="Cambria" w:hAnsi="Cambria"/>
          <w:kern w:val="2"/>
          <w:sz w:val="24"/>
          <w:szCs w:val="24"/>
        </w:rPr>
      </w:pPr>
      <w:r>
        <w:rPr>
          <w:rFonts w:ascii="Cambria" w:hAnsi="Cambria"/>
          <w:kern w:val="2"/>
          <w:sz w:val="24"/>
          <w:szCs w:val="24"/>
        </w:rPr>
        <w:t xml:space="preserve">La investigadora del CIBERES Esther Barreiro considera, por lo tanto, que estas herramientas de análisis y clasificación </w:t>
      </w:r>
      <w:r w:rsidRPr="00076B35">
        <w:rPr>
          <w:rFonts w:ascii="Cambria" w:hAnsi="Cambria"/>
          <w:i/>
          <w:kern w:val="2"/>
          <w:sz w:val="24"/>
          <w:szCs w:val="24"/>
        </w:rPr>
        <w:t>“deberían ser utilizadas en la práctica clínica para clasificar a los pacientes según la gravedad de su enfermedad y así poder avanzar en las estrategias terapéuticas específicas”</w:t>
      </w:r>
      <w:r>
        <w:rPr>
          <w:rFonts w:ascii="Cambria" w:hAnsi="Cambria"/>
          <w:kern w:val="2"/>
          <w:sz w:val="24"/>
          <w:szCs w:val="24"/>
        </w:rPr>
        <w:t>.</w:t>
      </w:r>
    </w:p>
    <w:p w14:paraId="0669D08B" w14:textId="77777777" w:rsidR="0011574A" w:rsidRDefault="0011574A" w:rsidP="00F24367">
      <w:pPr>
        <w:jc w:val="both"/>
        <w:rPr>
          <w:rFonts w:ascii="Cambria" w:hAnsi="Cambria"/>
          <w:kern w:val="2"/>
          <w:sz w:val="24"/>
          <w:szCs w:val="24"/>
        </w:rPr>
      </w:pPr>
      <w:r w:rsidRPr="0011574A">
        <w:rPr>
          <w:rFonts w:ascii="Cambria" w:hAnsi="Cambria"/>
          <w:kern w:val="2"/>
          <w:sz w:val="24"/>
          <w:szCs w:val="24"/>
        </w:rPr>
        <w:t>La identificación de los pacientes con bronquiectasias que corren un mayor riesgo de progresar más rápidamente y/o experimentar exacerbaciones sigue siendo un desafío impor</w:t>
      </w:r>
      <w:r w:rsidR="00076B35">
        <w:rPr>
          <w:rFonts w:ascii="Cambria" w:hAnsi="Cambria"/>
          <w:kern w:val="2"/>
          <w:sz w:val="24"/>
          <w:szCs w:val="24"/>
        </w:rPr>
        <w:t>tante en los entornos clínicos, y l</w:t>
      </w:r>
      <w:r w:rsidRPr="0011574A">
        <w:rPr>
          <w:rFonts w:ascii="Cambria" w:hAnsi="Cambria"/>
          <w:kern w:val="2"/>
          <w:sz w:val="24"/>
          <w:szCs w:val="24"/>
        </w:rPr>
        <w:t>as herramientas disponibles actualmente no siempre ayudan a identificar estos grupos específicos de pacientes. Por lo tanto, se deben desarrollar otros instrumentos con el objetivo de definir patrones de comportamiento a partir de grandes conjuntos de datos, que se pueden traducir en grupos bien estructurados de pacientes que se pueden abordar específicamente en entornos clínicos</w:t>
      </w:r>
      <w:r>
        <w:rPr>
          <w:rFonts w:ascii="Cambria" w:hAnsi="Cambria"/>
          <w:kern w:val="2"/>
          <w:sz w:val="24"/>
          <w:szCs w:val="24"/>
        </w:rPr>
        <w:t>.</w:t>
      </w:r>
    </w:p>
    <w:p w14:paraId="247211FB" w14:textId="77777777" w:rsidR="00891EA2" w:rsidRPr="00F24367" w:rsidRDefault="00891EA2" w:rsidP="00F24367">
      <w:pPr>
        <w:jc w:val="both"/>
      </w:pPr>
    </w:p>
    <w:p w14:paraId="4728877A" w14:textId="77777777" w:rsidR="00891EA2" w:rsidRPr="0011574A" w:rsidRDefault="00891EA2" w:rsidP="00891EA2">
      <w:pPr>
        <w:suppressAutoHyphens/>
        <w:spacing w:line="240" w:lineRule="auto"/>
        <w:jc w:val="both"/>
        <w:rPr>
          <w:lang w:val="en-US"/>
        </w:rPr>
      </w:pPr>
      <w:r w:rsidRPr="0011574A">
        <w:rPr>
          <w:rFonts w:ascii="Cambria" w:hAnsi="Cambria"/>
          <w:b/>
          <w:kern w:val="1"/>
          <w:sz w:val="24"/>
          <w:szCs w:val="24"/>
          <w:lang w:val="en-US"/>
        </w:rPr>
        <w:t>Artículo de referencia:</w:t>
      </w:r>
    </w:p>
    <w:p w14:paraId="78E21D1F" w14:textId="77777777" w:rsidR="00891EA2" w:rsidRPr="0011574A" w:rsidRDefault="00891EA2" w:rsidP="00891EA2">
      <w:pPr>
        <w:suppressAutoHyphens/>
        <w:jc w:val="both"/>
        <w:rPr>
          <w:rFonts w:ascii="Cambria" w:hAnsi="Cambria"/>
          <w:i/>
          <w:sz w:val="24"/>
          <w:szCs w:val="24"/>
          <w:lang w:val="en-US"/>
        </w:rPr>
      </w:pPr>
      <w:r w:rsidRPr="0011574A">
        <w:rPr>
          <w:rFonts w:ascii="Cambria" w:hAnsi="Cambria"/>
          <w:i/>
          <w:sz w:val="24"/>
          <w:szCs w:val="24"/>
          <w:lang w:val="en-US"/>
        </w:rPr>
        <w:t>Systemic Inflammatory Biomarkers Define Specific Clusters in Patients with Bronchiectasis: A Large-Cohort Study</w:t>
      </w:r>
    </w:p>
    <w:p w14:paraId="15842B3F" w14:textId="77777777" w:rsidR="00891EA2" w:rsidRDefault="00891EA2" w:rsidP="00891EA2">
      <w:pPr>
        <w:suppressAutoHyphens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Xuejie Wang, Carmen Villa</w:t>
      </w:r>
      <w:r w:rsidRPr="00891EA2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Yadira Dobarganes</w:t>
      </w:r>
      <w:r w:rsidRPr="00891EA2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Casilda Olveira, Rosa Girón,Marta García-Clemente, Luis Máiz</w:t>
      </w:r>
      <w:r w:rsidRPr="00891EA2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Oriol Sibila, Rafael Golpe</w:t>
      </w:r>
      <w:r w:rsidRPr="00891EA2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Rosario Menéndez</w:t>
      </w:r>
      <w:r w:rsidRPr="00891EA2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Juan Rodríguez-López, Concepción Prados, Miguel Á</w:t>
      </w:r>
      <w:r w:rsidRPr="00891EA2">
        <w:rPr>
          <w:rFonts w:ascii="Cambria" w:hAnsi="Cambria"/>
          <w:sz w:val="24"/>
          <w:szCs w:val="24"/>
        </w:rPr>
        <w:t>ngel Martinez-</w:t>
      </w:r>
      <w:r>
        <w:rPr>
          <w:rFonts w:ascii="Cambria" w:hAnsi="Cambria"/>
          <w:sz w:val="24"/>
          <w:szCs w:val="24"/>
        </w:rPr>
        <w:t>García</w:t>
      </w:r>
      <w:r w:rsidRPr="00891EA2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  <w:r w:rsidRPr="00891EA2">
        <w:rPr>
          <w:rFonts w:ascii="Cambria" w:hAnsi="Cambria"/>
          <w:sz w:val="24"/>
          <w:szCs w:val="24"/>
        </w:rPr>
        <w:t>J</w:t>
      </w:r>
      <w:r>
        <w:rPr>
          <w:rFonts w:ascii="Cambria" w:hAnsi="Cambria"/>
          <w:sz w:val="24"/>
          <w:szCs w:val="24"/>
        </w:rPr>
        <w:t>uan Luis Rodriguez, David de la Rosa</w:t>
      </w:r>
      <w:r w:rsidRPr="00891EA2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Xavier Durán</w:t>
      </w:r>
      <w:r w:rsidRPr="00891EA2">
        <w:rPr>
          <w:rFonts w:ascii="Cambria" w:hAnsi="Cambria"/>
          <w:sz w:val="24"/>
          <w:szCs w:val="24"/>
        </w:rPr>
        <w:t>,Jordi Garcia-Ojalvo</w:t>
      </w:r>
      <w:r>
        <w:rPr>
          <w:rFonts w:ascii="Cambria" w:hAnsi="Cambria"/>
          <w:sz w:val="24"/>
          <w:szCs w:val="24"/>
        </w:rPr>
        <w:t xml:space="preserve"> y </w:t>
      </w:r>
      <w:r w:rsidRPr="00891EA2">
        <w:rPr>
          <w:rFonts w:ascii="Cambria" w:hAnsi="Cambria"/>
          <w:sz w:val="24"/>
          <w:szCs w:val="24"/>
        </w:rPr>
        <w:t>Esther Barreiro</w:t>
      </w:r>
      <w:r>
        <w:rPr>
          <w:rFonts w:ascii="Cambria" w:hAnsi="Cambria"/>
          <w:sz w:val="24"/>
          <w:szCs w:val="24"/>
        </w:rPr>
        <w:t xml:space="preserve">. </w:t>
      </w:r>
    </w:p>
    <w:p w14:paraId="0A7BC278" w14:textId="77777777" w:rsidR="00891EA2" w:rsidRDefault="00891EA2" w:rsidP="00891EA2">
      <w:pPr>
        <w:suppressAutoHyphens/>
        <w:jc w:val="both"/>
        <w:rPr>
          <w:rFonts w:ascii="Cambria" w:hAnsi="Cambria"/>
          <w:sz w:val="24"/>
          <w:szCs w:val="24"/>
        </w:rPr>
      </w:pPr>
      <w:r w:rsidRPr="00891EA2">
        <w:rPr>
          <w:rFonts w:ascii="Cambria" w:hAnsi="Cambria"/>
          <w:i/>
          <w:sz w:val="24"/>
          <w:szCs w:val="24"/>
        </w:rPr>
        <w:t xml:space="preserve">Biomedicines </w:t>
      </w:r>
      <w:r w:rsidRPr="00891EA2">
        <w:rPr>
          <w:rFonts w:ascii="Cambria" w:hAnsi="Cambria"/>
          <w:sz w:val="24"/>
          <w:szCs w:val="24"/>
        </w:rPr>
        <w:t xml:space="preserve">2022, 10(2), 225; </w:t>
      </w:r>
      <w:hyperlink r:id="rId7" w:history="1">
        <w:r w:rsidRPr="002A5EFE">
          <w:rPr>
            <w:rStyle w:val="Hipervnculo"/>
            <w:rFonts w:ascii="Cambria" w:hAnsi="Cambria"/>
            <w:sz w:val="24"/>
            <w:szCs w:val="24"/>
          </w:rPr>
          <w:t>https://doi.org/10.3390/biomedicines10020225</w:t>
        </w:r>
      </w:hyperlink>
    </w:p>
    <w:p w14:paraId="48E01A02" w14:textId="77777777" w:rsidR="00891EA2" w:rsidRDefault="00144D2B" w:rsidP="00891EA2">
      <w:pPr>
        <w:suppressAutoHyphens/>
        <w:jc w:val="both"/>
        <w:rPr>
          <w:rFonts w:ascii="Cambria" w:hAnsi="Cambria"/>
          <w:sz w:val="24"/>
          <w:szCs w:val="24"/>
        </w:rPr>
      </w:pPr>
      <w:hyperlink r:id="rId8" w:history="1">
        <w:r w:rsidR="00891EA2" w:rsidRPr="002A5EFE">
          <w:rPr>
            <w:rStyle w:val="Hipervnculo"/>
            <w:rFonts w:ascii="Cambria" w:hAnsi="Cambria"/>
            <w:sz w:val="24"/>
            <w:szCs w:val="24"/>
          </w:rPr>
          <w:t>https://www.mdpi.com/2227-9059/10/2/225/htm</w:t>
        </w:r>
      </w:hyperlink>
    </w:p>
    <w:p w14:paraId="5852A334" w14:textId="77777777" w:rsidR="00891EA2" w:rsidRPr="00891EA2" w:rsidRDefault="00891EA2"/>
    <w:p w14:paraId="754BF1FB" w14:textId="77777777" w:rsidR="00B564E4" w:rsidRPr="00DD0A6A" w:rsidRDefault="00B564E4" w:rsidP="00B564E4">
      <w:pPr>
        <w:suppressAutoHyphens/>
        <w:spacing w:line="240" w:lineRule="auto"/>
        <w:jc w:val="both"/>
        <w:rPr>
          <w:rFonts w:ascii="Cambria" w:hAnsi="Cambria"/>
          <w:b/>
          <w:kern w:val="1"/>
          <w:sz w:val="24"/>
          <w:szCs w:val="24"/>
        </w:rPr>
      </w:pPr>
      <w:r w:rsidRPr="00DD0A6A">
        <w:rPr>
          <w:rFonts w:ascii="Cambria" w:hAnsi="Cambria"/>
          <w:b/>
          <w:kern w:val="1"/>
          <w:sz w:val="24"/>
          <w:szCs w:val="24"/>
        </w:rPr>
        <w:t>Sobre el CIBERES</w:t>
      </w:r>
    </w:p>
    <w:p w14:paraId="7D8F2031" w14:textId="77777777" w:rsidR="00B564E4" w:rsidRDefault="00B564E4" w:rsidP="00B564E4">
      <w:pPr>
        <w:suppressAutoHyphens/>
        <w:jc w:val="both"/>
        <w:rPr>
          <w:rFonts w:ascii="Cambria" w:hAnsi="Cambria"/>
          <w:sz w:val="24"/>
          <w:szCs w:val="24"/>
        </w:rPr>
      </w:pPr>
      <w:r w:rsidRPr="00DD0A6A">
        <w:rPr>
          <w:rFonts w:ascii="Cambria" w:hAnsi="Cambria"/>
          <w:sz w:val="24"/>
          <w:szCs w:val="24"/>
        </w:rPr>
        <w:t xml:space="preserve">El </w:t>
      </w:r>
      <w:r w:rsidRPr="00F86C17">
        <w:rPr>
          <w:rFonts w:ascii="Cambria" w:hAnsi="Cambria"/>
          <w:sz w:val="24"/>
          <w:szCs w:val="24"/>
        </w:rPr>
        <w:t>Centro de Investigación Biomédica en Red (CIBER) es un consorcio dependiente del Instituto de Salud Carlos III (Ministerio de Ciencia e Innovación) y cofinanciado con fondos FEDER. El CIBER de Enfermedades Respiratorias (CIBERES) tie</w:t>
      </w:r>
      <w:r w:rsidRPr="00DD0A6A">
        <w:rPr>
          <w:rFonts w:ascii="Cambria" w:hAnsi="Cambria"/>
          <w:sz w:val="24"/>
          <w:szCs w:val="24"/>
        </w:rPr>
        <w:t xml:space="preserve">ne como </w:t>
      </w:r>
      <w:r w:rsidRPr="00DD0A6A">
        <w:rPr>
          <w:rFonts w:ascii="Cambria" w:hAnsi="Cambria"/>
          <w:sz w:val="24"/>
          <w:szCs w:val="24"/>
        </w:rPr>
        <w:lastRenderedPageBreak/>
        <w:t>finalidad fomentar y facilitar la investigación de las enfermedades respiratorias por medio de la investigación de excelencia y su traslación rápida y segura a la práctica clínica. Creado en 2007, el CIBERES reúne actualmente a cerca de 400 investigadores de 9 comunidades autónomas que trabajan conjuntamente en 3 Programas Científicos, que integran las siguientes líneas de investigación: cáncer de pulmón, apneas del sueño, fibrosis pulmonar, hipertensión pulmonar, asma, lesión pulmonar aguda, tuberculosis, neumonías, Enfermedad Pulmonar Obstructiva Crónica (EPOC) y nuevas dianas terapéuticas.</w:t>
      </w:r>
    </w:p>
    <w:p w14:paraId="76D2FB4C" w14:textId="77777777" w:rsidR="00B564E4" w:rsidRDefault="00B564E4"/>
    <w:sectPr w:rsidR="00B564E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AF177" w14:textId="77777777" w:rsidR="00B564E4" w:rsidRDefault="00B564E4" w:rsidP="00B564E4">
      <w:pPr>
        <w:spacing w:after="0" w:line="240" w:lineRule="auto"/>
      </w:pPr>
      <w:r>
        <w:separator/>
      </w:r>
    </w:p>
  </w:endnote>
  <w:endnote w:type="continuationSeparator" w:id="0">
    <w:p w14:paraId="75B9FA0E" w14:textId="77777777" w:rsidR="00B564E4" w:rsidRDefault="00B564E4" w:rsidP="00B5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F8A6C" w14:textId="77777777" w:rsidR="00B564E4" w:rsidRDefault="00B564E4" w:rsidP="00B564E4">
      <w:pPr>
        <w:spacing w:after="0" w:line="240" w:lineRule="auto"/>
      </w:pPr>
      <w:r>
        <w:separator/>
      </w:r>
    </w:p>
  </w:footnote>
  <w:footnote w:type="continuationSeparator" w:id="0">
    <w:p w14:paraId="6E46EE4D" w14:textId="77777777" w:rsidR="00B564E4" w:rsidRDefault="00B564E4" w:rsidP="00B5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19452" w14:textId="77777777" w:rsidR="00B564E4" w:rsidRDefault="00B564E4">
    <w:pPr>
      <w:pStyle w:val="Encabezado"/>
    </w:pPr>
    <w:r w:rsidRPr="00C47DBA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0BF8D7FB" wp14:editId="64825E9F">
          <wp:simplePos x="0" y="0"/>
          <wp:positionH relativeFrom="column">
            <wp:posOffset>5181600</wp:posOffset>
          </wp:positionH>
          <wp:positionV relativeFrom="paragraph">
            <wp:posOffset>151765</wp:posOffset>
          </wp:positionV>
          <wp:extent cx="609600" cy="494030"/>
          <wp:effectExtent l="0" t="0" r="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7DBA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7874DA91" wp14:editId="35F1E097">
          <wp:simplePos x="0" y="0"/>
          <wp:positionH relativeFrom="column">
            <wp:posOffset>3295650</wp:posOffset>
          </wp:positionH>
          <wp:positionV relativeFrom="paragraph">
            <wp:posOffset>142240</wp:posOffset>
          </wp:positionV>
          <wp:extent cx="1688465" cy="447675"/>
          <wp:effectExtent l="0" t="0" r="6985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565"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B41DAB2" wp14:editId="486FB056">
          <wp:simplePos x="0" y="0"/>
          <wp:positionH relativeFrom="column">
            <wp:posOffset>1666875</wp:posOffset>
          </wp:positionH>
          <wp:positionV relativeFrom="paragraph">
            <wp:posOffset>85090</wp:posOffset>
          </wp:positionV>
          <wp:extent cx="1533525" cy="524510"/>
          <wp:effectExtent l="0" t="0" r="9525" b="8890"/>
          <wp:wrapNone/>
          <wp:docPr id="2" name="Imagen 2" descr="LOGO-03-ISCIII-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-03-ISCIII-GRAND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7FCCACA1" wp14:editId="6A079113">
          <wp:extent cx="1381125" cy="676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336A6"/>
    <w:multiLevelType w:val="hybridMultilevel"/>
    <w:tmpl w:val="79705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306"/>
    <w:rsid w:val="00076B35"/>
    <w:rsid w:val="0011574A"/>
    <w:rsid w:val="00144D2B"/>
    <w:rsid w:val="003A073D"/>
    <w:rsid w:val="00597D67"/>
    <w:rsid w:val="0063238E"/>
    <w:rsid w:val="007A5CED"/>
    <w:rsid w:val="00891EA2"/>
    <w:rsid w:val="00980523"/>
    <w:rsid w:val="00A7657E"/>
    <w:rsid w:val="00AB4455"/>
    <w:rsid w:val="00AE4067"/>
    <w:rsid w:val="00B564E4"/>
    <w:rsid w:val="00E17B7E"/>
    <w:rsid w:val="00EC3FF2"/>
    <w:rsid w:val="00F24367"/>
    <w:rsid w:val="00F2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23CB"/>
  <w15:chartTrackingRefBased/>
  <w15:docId w15:val="{707F81D9-AA4A-49EA-9AD9-758BB810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64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64E4"/>
  </w:style>
  <w:style w:type="paragraph" w:styleId="Piedepgina">
    <w:name w:val="footer"/>
    <w:basedOn w:val="Normal"/>
    <w:link w:val="PiedepginaCar"/>
    <w:uiPriority w:val="99"/>
    <w:unhideWhenUsed/>
    <w:rsid w:val="00B564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64E4"/>
  </w:style>
  <w:style w:type="paragraph" w:styleId="Prrafodelista">
    <w:name w:val="List Paragraph"/>
    <w:basedOn w:val="Normal"/>
    <w:uiPriority w:val="34"/>
    <w:qFormat/>
    <w:rsid w:val="00B564E4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91E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2227-9059/10/2/225/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390/biomedicines100202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830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Navarro, Begoña [Ciberisciii]</cp:lastModifiedBy>
  <cp:revision>8</cp:revision>
  <dcterms:created xsi:type="dcterms:W3CDTF">2022-02-22T13:27:00Z</dcterms:created>
  <dcterms:modified xsi:type="dcterms:W3CDTF">2022-03-04T12:07:00Z</dcterms:modified>
</cp:coreProperties>
</file>